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#503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>---</w:t>
        <w:br/>
        <w:br/>
        <w:t xml:space="preserve">**DE**: Direção-Geral da Política de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**À**:  </w:t>
        <w:br/>
        <w:t xml:space="preserve">- Assembleia da República  </w:t>
        <w:br/>
        <w:t xml:space="preserve">- Tribunal Constitucional  </w:t>
        <w:br/>
        <w:t xml:space="preserve">- Direções Regionais de Justiça  </w:t>
        <w:br/>
        <w:t xml:space="preserve">- Instituições Públicas Relevantes  </w:t>
        <w:br/>
        <w:br/>
        <w:t>---</w:t>
        <w:br/>
        <w:br/>
        <w:t xml:space="preserve">**INFORMAÇÃO**  </w:t>
        <w:br/>
        <w:br/>
        <w:t xml:space="preserve">Nos termos do disposto na Lei n.º 28/2004, de 25 de Julho, e com base na deliberação proferida pelo Tribunal Constitucional na sua sessão plenária de 10 de Outubro de 2023, informamos que foi declarada a inconstitucionalidade da norma constante do artigo 45.º do Decreto-Lei n.º 123/2020, de 15 de Outubro, que estabelece o regime jurídico da proteção de dados pessoais em matéria de saúde.  </w:t>
        <w:br/>
        <w:br/>
        <w:t xml:space="preserve">O acórdão, publicado na 2.ª série do Diário da República, n.º 198, de 13 de Outubro de 2023, considera que a norma em questão viola princípios fundamentais consagrados na Constituição da República Portuguesa, nomeadamente os direitos à privacidade e à proteção de dados pessoais, conforme previsto no artigo 35.º da Constituição.  </w:t>
        <w:br/>
        <w:br/>
        <w:t xml:space="preserve">A decisão do Tribunal Constitucional é de cumprimento obrigatório e vincula todos os órgãos do Estado, entidades administrativas e serviços públicos, devendo ser observada em todas as suas dimensões.  </w:t>
        <w:br/>
        <w:br/>
        <w:t xml:space="preserve">**DESPACHO**  </w:t>
        <w:br/>
        <w:br/>
        <w:t xml:space="preserve">Assim sendo, determina-se:  </w:t>
        <w:br/>
        <w:br/>
        <w:t xml:space="preserve">1. A imediata comunicação desta decisão a todos os serviços e organismos do Estado, incluindo as administrações públicas central e local, que se vejam afetados pela norma declarada inconstitucional.  </w:t>
        <w:br/>
        <w:t xml:space="preserve">2. A revisão dos procedimentos internos que possam conflitar com a decisão do Tribunal Constitucional e a adoção das medidas necessárias para garantir a conformidade com a presente decisão.  </w:t>
        <w:br/>
        <w:t xml:space="preserve">3. A publicação da presente comunicação no Portal de Justiça e no Diário da República, de forma a assegurar a ampla divulgação e conhecimento da decisão entre os cidadãos e entidades relevantes.  </w:t>
        <w:br/>
        <w:br/>
        <w:t xml:space="preserve">Agradecemos a colaboração de todos os órgãos e serviços no cumprimento das orientações aqui estabelecidas, relembrando que a observância da Constituição é um dever de todos os cidadãos e instituições.  </w:t>
        <w:br/>
        <w:br/>
        <w:t xml:space="preserve">Com os melhores cumprimentos,  </w:t>
        <w:br/>
        <w:br/>
        <w:t xml:space="preserve">**[Assinatura Digital]**  </w:t>
        <w:br/>
        <w:t xml:space="preserve">**Diretor-Geral**  </w:t>
        <w:br/>
        <w:t xml:space="preserve">Direção-Geral da Política de Justiça  </w:t>
        <w:br/>
        <w:t xml:space="preserve">**[Nome do Diretor]**  </w:t>
        <w:br/>
        <w:t xml:space="preserve">**[Contacto]**  </w:t>
        <w:br/>
        <w:t xml:space="preserve">**[E-mail]**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