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#513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**DIRECÇÃO-GERAL DO TRABALHO**  </w:t>
        <w:br/>
        <w:br/>
        <w:t xml:space="preserve">**DE**: Direcção de Normas e Regulamentações  </w:t>
        <w:br/>
        <w:t xml:space="preserve">**ASSUNTO**: Parecer sobre a interpretação da Norma Técnica nº 45/2023  </w:t>
        <w:br/>
        <w:t xml:space="preserve">**DATA**: 15 de outubro de 2023  </w:t>
        <w:br/>
        <w:br/>
        <w:t xml:space="preserve">**INFORMAÇÃO**:  </w:t>
        <w:br/>
        <w:br/>
        <w:t>No âmbito das competências atribuídas a esta Direcção-Geral, e em resposta à solicitação de parecer relativamente à Norma Técnica nº 45/2023, que versa sobre a regulamentação das condições de trabalho em ambiente remoto, foram realizadas as seguintes diligências:</w:t>
        <w:br/>
        <w:br/>
        <w:t>1. **Análise da Norma**: A Norma Técnica nº 45/2023 estabelece diretrizes e requisitos mínimos para a implementação do trabalho remoto nas entidades empregadoras, visando garantir a proteção dos direitos dos trabalhadores e a adequação das condições de trabalho às especificidades do teletrabalho.</w:t>
        <w:br/>
        <w:br/>
        <w:t xml:space="preserve">2. **Consulta a Elementos**: Foram consultados documentos relacionados, incluindo pareceres anteriores, legislações complementares e jurisprudência pertinente, para a fundamentação do presente parecer. </w:t>
        <w:br/>
        <w:br/>
        <w:t>3. **Elaboração da Orientação**: Com base na análise da norma em questão e dos elementos consultados, foram identificados aspectos que necessitam de clarificação. Em particular, destacam-se os seguintes pontos:</w:t>
        <w:br/>
        <w:t xml:space="preserve">   - A definição clara de “condições adequadas” para o trabalho remoto, incluindo a obrigatoriedade de fornecimento de equipamentos e despesas relacionadas.</w:t>
        <w:br/>
        <w:t xml:space="preserve">   - O direito à desconexão, que deve ser explicitamente garantido, evitando a sobrecarga de trabalho fora do horário estipulado.</w:t>
        <w:br/>
        <w:br/>
        <w:t>4. **Comunicação da Orientação**: As orientações resultantes desta análise serão comunicadas às entidades empregadoras e aos representantes dos trabalhadores através de ofício, com o intuito de assegurar a correta aplicação da norma e a proteção dos direitos laborais.</w:t>
        <w:br/>
        <w:br/>
        <w:t xml:space="preserve">**DESPACHO**:  </w:t>
        <w:br/>
        <w:br/>
        <w:t>Face ao exposto, e considerando a relevância da Norma Técnica nº 45/2023 para a regulamentação do trabalho remoto, a Direcção de Normas e Regulamentações determina que:</w:t>
        <w:br/>
        <w:br/>
        <w:t>1. Seja elaborado um documento de orientação que sintetize os principais pontos de interpretação da norma, a ser disponibilizado no portal institucional.</w:t>
        <w:br/>
        <w:t>2. Realizem-se sessões de esclarecimento com as entidades empregadoras e sindicatos, com o objetivo de promover a correta implementação da norma.</w:t>
        <w:br/>
        <w:t>3. Seja mantido um canal de comunicação aberto para esclarecimentos adicionais sobre a aplicação da norma.</w:t>
        <w:br/>
        <w:br/>
        <w:t xml:space="preserve">**Assinatura**:  </w:t>
        <w:br/>
        <w:t xml:space="preserve">[Nome do Responsável]  </w:t>
        <w:br/>
        <w:t xml:space="preserve">Director da Direcção de Normas e Regulamentações  </w:t>
        <w:br/>
        <w:t xml:space="preserve">Ministério do Trabalho e Segurança Social  </w:t>
        <w:br/>
        <w:br/>
        <w:t xml:space="preserve">**Carimbo da Instituição**  </w:t>
        <w:br/>
        <w:br/>
        <w:t xml:space="preserve">---  </w:t>
        <w:br/>
        <w:br/>
        <w:t>Este documento tem caráter oficial e deve ser tratado com a devida confidencialidade e atenção aos procedimentos estabelecidos.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