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#517</w:t>
      </w:r>
    </w:p>
    <w:p>
      <w:r>
        <w:t xml:space="preserve">**MINISTÉRIO DA ADMINISTRAÇÃO INTERNA**  </w:t>
        <w:br/>
        <w:t xml:space="preserve">**SECRETARIA-GERAL**  </w:t>
        <w:br/>
        <w:t xml:space="preserve">**DEPARTAMENTO DE GESTÃO DE RECURSOS HUMANOS**  </w:t>
        <w:br/>
        <w:br/>
        <w:t xml:space="preserve">**N.º 123/2023**  </w:t>
        <w:br/>
        <w:t xml:space="preserve">**ASSUNTO:** Nomeação para o cargo de Técnico Superior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reorganização dos serviços do Ministério da Administração Interna e em conformidade com o disposto na legislação em vigor, foi deliberado proceder à nomeação de um novo Técnico Superior para o Departamento de Gestão de Recursos Humanos. A nomeação surge na sequência da necessidade de reforçar a equipa técnica responsável pela implementação das políticas de recursos humanos e modernização administrativa.</w:t>
        <w:br/>
        <w:br/>
        <w:t>Após análise dos currículos e entrevistas realizadas, foi selecionado o candidato João da Silva, portador do cartão de cidadão n.º 123456789, residente na Rua das Flores, n.º 10, Lisboa. O candidato possui uma formação académica sólida na área das Ciências Sociais e uma experiência profissional relevante em administração pública, tendo desempenhado funções em diversas entidades do Estado nos últimos cinco anos.</w:t>
        <w:br/>
        <w:br/>
        <w:t>**DESPACHO:**</w:t>
        <w:br/>
        <w:br/>
        <w:t>Tendo em vista o exposto, e considerando a necessidade de assegurar a continuidade e a eficácia dos serviços prestados pelo Departamento de Gestão de Recursos Humanos, determino:</w:t>
        <w:br/>
        <w:br/>
        <w:t>1. A nomeação de João da Silva para o cargo de Técnico Superior, com efeitos a partir de 1 de Novembro de 2023.</w:t>
        <w:br/>
        <w:t>2. Que a Direcção do Departamento de Gestão de Recursos Humanos proceda à elaboração do respectivo contrato de trabalho e à comunicação da presente nomeação ao interessado.</w:t>
        <w:br/>
        <w:t>3. Que se proceda à publicação do presente despacho em Diário da República, para efeitos de publicidade e conformidade com a legislação aplicável.</w:t>
        <w:br/>
        <w:br/>
        <w:t xml:space="preserve">Mais se determina que todas as entidades competentes sejam informadas acerca desta nomeação, a fim de que se proceda à devida integração do novo colaborador nos quadros do Ministério da Administração Interna.  </w:t>
        <w:br/>
        <w:br/>
        <w:t>Lisboa, 15 de Outubro de 2023.</w:t>
        <w:br/>
        <w:br/>
        <w:t xml:space="preserve">**O SECRETÁRIO-GERAL,**  </w:t>
        <w:br/>
        <w:t xml:space="preserve">[Assinatura]  </w:t>
        <w:br/>
        <w:t xml:space="preserve">**António Ferreira**  </w:t>
        <w:br/>
        <w:t xml:space="preserve">**Ministério da Administração Interna**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