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#525</w:t>
      </w:r>
    </w:p>
    <w:p>
      <w:r>
        <w:t>**GOVERNO MUNICIPAL DE EXEMPLAR**</w:t>
        <w:br/>
        <w:br/>
        <w:t>**SECRETARIA DE REGULAMENTAÇÃO E NORMATIZAÇÃO**</w:t>
        <w:br/>
        <w:br/>
        <w:t xml:space="preserve">**DE:** Secretaria de Regulamentação e Normatização  </w:t>
        <w:br/>
        <w:t xml:space="preserve">**ASSUNTO:** Elaboração de Parecer Técnico sobre a Interpretação da Norma Técnica nº 123/2023  </w:t>
        <w:br/>
        <w:t xml:space="preserve">**DATA:** 15 de Outubro de 2023  </w:t>
        <w:br/>
        <w:br/>
        <w:t>---</w:t>
        <w:br/>
        <w:br/>
        <w:t>**INFORMAÇÃO:**</w:t>
        <w:br/>
        <w:br/>
        <w:t>Em resposta à solicitação formulada pela Coordenação Geral de Normas e Procedimentos, datada de 10 de Outubro de 2023, e com o objetivo de esclarecer as diretrizes contidas na Norma Técnica nº 123/2023, a Secretaria de Regulamentação e Normatização realiza a presente análise.</w:t>
        <w:br/>
        <w:br/>
        <w:t>A referida norma técnica estabelece as diretrizes para a implementação de sistemas de gestão ambiental nas empresas do município, visando a sustentabilidade e a conformidade com as legislações vigentes. No entanto, surgiram dúvidas quanto à aplicabilidade de determinados artigos e incisos, especialmente no que se refere aos prazos para adequação e à responsabilidade dos agentes fiscalizadores.</w:t>
        <w:br/>
        <w:br/>
        <w:t>**PARECER:**</w:t>
        <w:br/>
        <w:br/>
        <w:t>1. **Contextualização:**</w:t>
        <w:br/>
        <w:t xml:space="preserve">   A Norma Técnica nº 123/2023 foi criada em consonância com as diretrizes do Plano Municipal de Sustentabilidade e visa promover práticas que minimizem os impactos ambientais das atividades empresariais. A sua interpretação correta é fundamental para assegurar a efetividade das ações propostas.</w:t>
        <w:br/>
        <w:br/>
        <w:t>2. **Análise dos Artigos em Questão:**</w:t>
        <w:br/>
        <w:t xml:space="preserve">   a. **Artigo 5º:** Estabelece que as empresas têm um prazo de 90 dias para se adequarem às exigências propostas. Este prazo deve ser interpretado como contados a partir da data de publicação da norma, ou seja, a partir de 1º de Setembro de 2023.</w:t>
        <w:br/>
        <w:t xml:space="preserve">   </w:t>
        <w:br/>
        <w:t xml:space="preserve">   b. **Artigo 8º:** Determina que a responsabilidade pela fiscalização das normas é do Departamento de Meio Ambiente, porém, em casos de não conformidade, as empresas podem solicitar a revisão do processo junto à própria Secretaria.</w:t>
        <w:br/>
        <w:br/>
        <w:t>3. **Conclusão:**</w:t>
        <w:br/>
        <w:t xml:space="preserve">   A interpretação correta dos artigos mencionados é essencial para evitar ambiguidades e garantir que as empresas cumpram as exigências dentro dos prazos estipulados. Recomenda-se que a Coordenação Geral de Normas e Procedimentos elabore uma cartilha explicativa que auxilie na compreensão das obrigações estabelecidas pela norma.</w:t>
        <w:br/>
        <w:br/>
        <w:t>**DESPACHO:**</w:t>
        <w:br/>
        <w:br/>
        <w:t>Após a análise realizada, encaminha-se este parecer à Coordenação Geral de Normas e Procedimentos para que sejam tomadas as devidas providências quanto à divulgação das orientações aqui contidas. É fundamental que as informações sobre a Norma Técnica nº 123/2023 sejam amplamente divulgadas entre os setores afetados, a fim de promover o conhecimento e a conformidade das empresas.</w:t>
        <w:br/>
        <w:br/>
        <w:t>Atenciosamente,</w:t>
        <w:br/>
        <w:br/>
        <w:t xml:space="preserve">__________________________________  </w:t>
        <w:br/>
        <w:t xml:space="preserve">João da Silva  </w:t>
        <w:br/>
        <w:t xml:space="preserve">Diretor da Secretaria de Regulamentação e Normatização  </w:t>
        <w:br/>
        <w:t xml:space="preserve">Governo Municipal de Exemplar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