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#539</w:t>
      </w:r>
    </w:p>
    <w:p>
      <w:r>
        <w:t xml:space="preserve">**DE:** Tribunal da Relação de Lisboa  </w:t>
        <w:br/>
        <w:t xml:space="preserve">**ASSUNTO:** Pedido de Uniformização de Jurisprudência  </w:t>
        <w:br/>
        <w:t xml:space="preserve">**DATA:** 15 de outubro de 2023  </w:t>
        <w:br/>
        <w:t xml:space="preserve">**Nº DO PROCESSO:** 2345/2023  </w:t>
        <w:br/>
        <w:br/>
        <w:t>---</w:t>
        <w:br/>
        <w:br/>
        <w:t>**INFORMAÇÃO**</w:t>
        <w:br/>
        <w:br/>
        <w:t>Nos termos do artigo 16.º do Regime Jurídico da Organização e Funcionamento dos Tribunais, e considerando as divergências de entendimento manifestadas em decisões proferidas por diferentes instâncias sobre a aplicação do artigo 12.º do Código Civil, foi recebido neste Tribunal, no dia 10 de setembro de 2023, um pedido de uniformização de jurisprudência, interposto por um advogado em representação do Requerente, no processo nº 1234/2023.</w:t>
        <w:br/>
        <w:br/>
        <w:t>O referido pedido fundamenta-se na necessidade de clarificação da interpretação do conceito de "dano moral" na relação contratual, tendo em vista que a jurisprudência tem apresentado soluções antagónicas, com decisões que ora admitem, ora excluem o direito à compensação por danos morais nas relações de consumo.</w:t>
        <w:br/>
        <w:br/>
        <w:t>**DESPACHO**</w:t>
        <w:br/>
        <w:br/>
        <w:t>Após a análise das alegações apresentadas e da documentação anexa, determina-se a realização de conferência para admissibilidade do pedido de uniformização de jurisprudência, a realizar no dia 5 de novembro de 2023, às 10 horas, nas instalações deste Tribunal.</w:t>
        <w:br/>
        <w:br/>
        <w:t>Convocam-se as partes envolvidas, bem como o Ministério Público, para a referida conferência, onde deverão ser apresentadas as alegações em suporte das suas posições.</w:t>
        <w:br/>
        <w:br/>
        <w:t>Em conformidade, será o acórdão a proferir sobre a questão, com o intuito de estabelecer uma linha orientadora uniforme para a interpretação do mencionado artigo do Código Civil, contribuindo assim para a estabilidade da jurisprudência.</w:t>
        <w:br/>
        <w:br/>
        <w:t>A decisão final será publicada nos meios oficiais, garantindo a transparência e a acessibilidade da orientação jurisprudencial a todos os intervenientes do sistema judicial.</w:t>
        <w:br/>
        <w:br/>
        <w:t>Sem mais para o momento, subscrevo-me.</w:t>
        <w:br/>
        <w:br/>
        <w:t xml:space="preserve">**Lisboa, 15 de outubro de 2023**  </w:t>
        <w:br/>
        <w:t xml:space="preserve">**(Assinatura)**  </w:t>
        <w:br/>
        <w:t xml:space="preserve">**Juiz Miguel Santos**  </w:t>
        <w:br/>
        <w:t>**Tribunal da Relação de Lisboa**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