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#545</w:t>
      </w:r>
    </w:p>
    <w:p>
      <w:r>
        <w:t xml:space="preserve">**GOVERNO DA REPÚBLICA**  </w:t>
        <w:br/>
        <w:t xml:space="preserve">**MINISTÉRIO DA JUSTIÇA**  </w:t>
        <w:br/>
        <w:t xml:space="preserve">**DIREÇÃO-GERAL DA POLÍTICA DE JUSTIÇA**  </w:t>
        <w:br/>
        <w:t xml:space="preserve">**DEPARTAMENTO DE JURISPRUDÊNCIA**  </w:t>
        <w:br/>
        <w:br/>
        <w:t xml:space="preserve">**N.º: 2023/JP-45**  </w:t>
        <w:br/>
        <w:t xml:space="preserve">**DATA: 15 de outubro de 2023**  </w:t>
        <w:br/>
        <w:br/>
        <w:t xml:space="preserve">**ASSUNTO: Decisão de uniformização de jurisprudência sobre a aplicação do artigo 123 do Código Civil**  </w:t>
        <w:br/>
        <w:br/>
        <w:t xml:space="preserve">**INFORMAÇÃO**  </w:t>
        <w:br/>
        <w:br/>
        <w:t>No âmbito do processo de uniformização da jurisprudência, foi recebido um pedido de decisão de uniformização de jurisprudência, apresentado pelo Tribunal da Relação de Lisboa, no qual se questiona a aplicação do artigo 123 do Código Civil, em virtude de haver decisões divergentes proferidas por diferentes tribunais sobre a interpretação e aplicação deste normativo.</w:t>
        <w:br/>
        <w:br/>
        <w:t>O pedido foi admitido a 5 de setembro de 2023, tendo sido solicitadas alegações às partes interessadas, as quais foram apresentadas até o dia 20 de setembro de 2023. As alegações foram analisadas durante a conferência realizada a 30 de setembro de 2023, na qual se discutiram as diferentes interpretações apresentadas e o impacto das decisões divergentes na segurança jurídica.</w:t>
        <w:br/>
        <w:br/>
        <w:t xml:space="preserve">**JULGAMENTO**  </w:t>
        <w:br/>
        <w:br/>
        <w:t>Após a análise das alegações apresentadas e da jurisprudência existente, o colegiado decidiu por unanimidade que a interpretação do artigo 123 do Código Civil deve ser uniformizada no sentido de que a sua aplicação deve considerar a boa-fé e os princípios da justiça contratual, promovendo assim uma maior proteção aos direitos dos cidadãos.</w:t>
        <w:br/>
        <w:br/>
        <w:t>A decisão será publicada na página oficial do Ministério da Justiça, no portal de jurisprudência, a fim de garantir amplo acesso à orientação jurisprudencial uniformizada. A publicação está prevista para ocorrer até o dia 30 de outubro de 2023.</w:t>
        <w:br/>
        <w:br/>
        <w:t xml:space="preserve">**DESPACHO**  </w:t>
        <w:br/>
        <w:br/>
        <w:t xml:space="preserve">Atendendo ao exposto, determino:  </w:t>
        <w:br/>
        <w:br/>
        <w:t xml:space="preserve">1. A publicação da decisão de uniformização de jurisprudência, conforme o teor acima exposto.  </w:t>
        <w:br/>
        <w:t xml:space="preserve">2. A comunicação desta decisão a todos os tribunais, a fim de que se proceda à sua aplicação nas futuras deliberações sobre casos que envolvam a interpretação do artigo 123 do Código Civil.  </w:t>
        <w:br/>
        <w:br/>
        <w:t xml:space="preserve">Lisboa, 15 de outubro de 2023  </w:t>
        <w:br/>
        <w:br/>
        <w:t xml:space="preserve">**Assinatura:**  </w:t>
        <w:br/>
        <w:t xml:space="preserve">______________________________  </w:t>
        <w:br/>
        <w:t xml:space="preserve">**Diretor-Geral da Política de Justiça**  </w:t>
        <w:br/>
        <w:t xml:space="preserve">**Nome do Diretor**  </w:t>
        <w:br/>
        <w:t xml:space="preserve">**Cargo**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