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#548</w:t>
      </w:r>
    </w:p>
    <w:p>
      <w:r>
        <w:t xml:space="preserve">**GOVERNO DE PORTUGAL**  </w:t>
        <w:br/>
        <w:t xml:space="preserve">**MINISTÉRIO DA ADMINISTRAÇÃO INTERNA**  </w:t>
        <w:br/>
        <w:t xml:space="preserve">**DIREÇÃO-GERAL DA ADMINISTRAÇÃO LOCAL**  </w:t>
        <w:br/>
        <w:br/>
        <w:t xml:space="preserve">**Nº 045/2023**  </w:t>
        <w:br/>
        <w:t xml:space="preserve">**ASSUNTO:** Instruções para a Aplicação da Lei n.º 123/2022, de 15 de julho, sobre a Gestão de Resíduos Urbanos  </w:t>
        <w:br/>
        <w:t xml:space="preserve">**DATA:** 20 de outubro de 2023  </w:t>
        <w:br/>
        <w:br/>
        <w:t xml:space="preserve">**INFORMAÇÃO:**  </w:t>
        <w:br/>
        <w:br/>
        <w:t>No âmbito da implementação da Lei n.º 123/2022, de 15 de julho, que estabelece o regime jurídico da gestão de resíduos urbanos, e considerando a necessidade de uniformizar a interpretação e a aplicação das disposições legais por parte dos órgãos autárquicos e demais entidades competentes, esta Direção-Geral procede à emissão das seguintes instruções.</w:t>
        <w:br/>
        <w:br/>
        <w:t xml:space="preserve">1. **Objetivo:**  </w:t>
        <w:br/>
        <w:t xml:space="preserve">   As presentes instruções visam esclarecer aspectos cruciais da referida lei, promovendo uma aplicação coerente e eficiente das suas normas por todos os intervenientes na gestão de resíduos urbanos.</w:t>
        <w:br/>
        <w:br/>
        <w:t xml:space="preserve">2. **Âmbito de Aplicação:**  </w:t>
        <w:br/>
        <w:t xml:space="preserve">   As instruções aqui apresentadas devem ser seguidas por todas as câmaras municipais, juntas de freguesia e entidades gestoras de resíduos, assegurando que as diretrizes sejam respeitadas em todo o território nacional.</w:t>
        <w:br/>
        <w:br/>
        <w:t>3. **Principais Diretrizes:**</w:t>
        <w:br/>
        <w:t xml:space="preserve">   a. **Classificação dos Resíduos:**  </w:t>
        <w:br/>
        <w:t xml:space="preserve">   Todos os resíduos urbanos devem ser classificados de acordo com os códigos estabelecidos na legislação em vigor, conforme o Anexo I da Lei n.º 123/2022.</w:t>
        <w:br/>
        <w:t xml:space="preserve">   </w:t>
        <w:br/>
        <w:t xml:space="preserve">   b. **Obrigatoriedade da Separação:**  </w:t>
        <w:br/>
        <w:t xml:space="preserve">   É imperativa a separação dos resíduos recicláveis na origem, devendo as autarquias promover campanhas de sensibilização junto da população para garantir o cumprimento desta obrigação.</w:t>
        <w:br/>
        <w:t xml:space="preserve">   </w:t>
        <w:br/>
        <w:t xml:space="preserve">   c. **Relatórios de Gestão:**  </w:t>
        <w:br/>
        <w:t xml:space="preserve">   As entidades gestoras de resíduos devem elaborar relatórios anuais sobre a gestão de resíduos, incluindo dados sobre a quantidade de resíduos tratados, reciclados e enviados para eliminação.</w:t>
        <w:br/>
        <w:t xml:space="preserve">   </w:t>
        <w:br/>
        <w:t xml:space="preserve">   d. **Incentivos à Reciclagem:**  </w:t>
        <w:br/>
        <w:t xml:space="preserve">   As câmaras municipais são incentivadas a implementar sistemas de incentivo à reciclagem, podendo considerar a redução das tarifas de resíduos para os cidadãos que demonstrem uma prática exemplar neste domínio.</w:t>
        <w:br/>
        <w:br/>
        <w:t xml:space="preserve">4. **Materiais de Apoio:**  </w:t>
        <w:br/>
        <w:t xml:space="preserve">   Para facilitar a compreensão e aplicação das normas, a DGAL disponibilizará esquemas sintetizadores e orientações práticas, que poderão ser consultados no portal institucional da Direção-Geral.</w:t>
        <w:br/>
        <w:br/>
        <w:t xml:space="preserve">5. **Comunicação:**  </w:t>
        <w:br/>
        <w:t xml:space="preserve">   As instruções aqui delineadas devem ser comunicadas a todos os órgãos e agentes responsáveis pela sua aplicação, garantindo a sua ampla divulgação e compreensão.</w:t>
        <w:br/>
        <w:br/>
        <w:t xml:space="preserve">**DESPACHO:**  </w:t>
        <w:br/>
        <w:t>Determina-se a imediata divulgação das presentes instruções junto das entidades referidas, com o objetivo de assegurar a sua implementação eficaz. Para quaisquer esclarecimentos adicionais, as entidades podem contactar a Direção-Geral da Administração Local através do e-mail: apoio@dgal.gov.pt.</w:t>
        <w:br/>
        <w:br/>
        <w:t xml:space="preserve">Lisboa, 20 de outubro de 2023  </w:t>
        <w:br/>
        <w:br/>
        <w:t xml:space="preserve">**O DIRETOR-GERAL,**  </w:t>
        <w:br/>
        <w:t xml:space="preserve">[Nome do Diretor-Geral]  </w:t>
        <w:br/>
        <w:t xml:space="preserve">[Assinatura]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