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#554</w:t>
      </w:r>
    </w:p>
    <w:p>
      <w:r>
        <w:t xml:space="preserve">**GOVERNO DE PORTUGAL**  </w:t>
        <w:br/>
        <w:t xml:space="preserve">**MINISTÉRIO DA ADMINISTRAÇÃO INTERNA**  </w:t>
        <w:br/>
        <w:t xml:space="preserve">**DIREÇÃO-GERAL DA ADMINISTRAÇÃO E DO EMPREGO PÚBLICO**  </w:t>
        <w:br/>
        <w:br/>
        <w:t xml:space="preserve">**DE**: Direção-Geral da Administração e do Emprego Público  </w:t>
        <w:br/>
        <w:t xml:space="preserve">**ASSUNTO**: Instruções para a aplicação da Lei n.º 123/2023, de 15 de julho, sobre a Proteção de Dados Pessoais em Entidades Públicas  </w:t>
        <w:br/>
        <w:t xml:space="preserve">**DATA**: 30 de outubro de 2023  </w:t>
        <w:br/>
        <w:br/>
        <w:t>---</w:t>
        <w:br/>
        <w:br/>
        <w:t xml:space="preserve">**INFORMAÇÃO**  </w:t>
        <w:br/>
        <w:br/>
        <w:t>Nos termos do disposto no artigo 5.º da Lei n.º 123/2023, de 15 de julho, que estabelece o regime jurídico da proteção de dados pessoais nas entidades públicas, e considerando a necessidade de uniformização da aplicação da referida norma, esta Direção-Geral emite as seguintes instruções.</w:t>
        <w:br/>
        <w:br/>
        <w:t xml:space="preserve">1. **Objetivo**  </w:t>
        <w:br/>
        <w:t>As presentes instruções têm como objetivo orientar os órgãos e entidades da Administração Pública na implementação das disposições da Lei n.º 123/2023, assegurando a conformidade com os princípios e direitos estabelecidos, assim como a proteção dos dados pessoais tratados no âmbito das suas atividades.</w:t>
        <w:br/>
        <w:br/>
        <w:t xml:space="preserve">2. **Identificação das Necessidades**  </w:t>
        <w:br/>
        <w:t>Foi verificada a existência de dúvidas e interpretações divergentes na aplicação da norma, nomeadamente no que se refere à definição de dados pessoais sensíveis e ao tratamento destes dados. Assim, é essencial que se proceda à clarificação das regras aplicáveis.</w:t>
        <w:br/>
        <w:br/>
        <w:t xml:space="preserve">3. **Elaboração e Divulgação de Instruções**  </w:t>
        <w:br/>
        <w:t>A presente instrução é acompanhada de um esquema sintetizador que clarifica as etapas a seguir por cada entidade no tratamento de dados pessoais, incluindo:</w:t>
        <w:br/>
        <w:br/>
        <w:t xml:space="preserve">   - Identificação dos tipos de dados pessoais tratados;</w:t>
        <w:br/>
        <w:t xml:space="preserve">   - Avaliação do risco associado ao tratamento dos dados;</w:t>
        <w:br/>
        <w:t xml:space="preserve">   - Definição de medidas de segurança adequadas;</w:t>
        <w:br/>
        <w:t xml:space="preserve">   - Direitos dos titulares dos dados e procedimentos para o seu exercício.</w:t>
        <w:br/>
        <w:br/>
        <w:t xml:space="preserve">4. **Orientações Práticas**  </w:t>
        <w:br/>
        <w:t>Foram elaboradas orientações práticas que devem ser seguidas pelas entidades públicas, as quais incluem:</w:t>
        <w:br/>
        <w:br/>
        <w:t xml:space="preserve">   - A necessidade de formação contínua dos colaboradores sobre a proteção de dados;</w:t>
        <w:br/>
        <w:t xml:space="preserve">   - A implementação de procedimentos claros para o tratamento de pedidos de acesso e retificação de dados;</w:t>
        <w:br/>
        <w:t xml:space="preserve">   - A obrigatoriedade de notificação de violações de dados pessoais à Comissão Nacional de Proteção de Dados (CNPD) no prazo de 72 horas.</w:t>
        <w:br/>
        <w:br/>
        <w:t xml:space="preserve">5. **Comunicação**  </w:t>
        <w:br/>
        <w:t>As instruções aqui apresentadas devem ser comunicadas a todos os órgãos e agentes responsáveis pela sua aplicação, devendo cada entidade assegurar a sua divulgação e cumprimento junto dos respetivos colaboradores.</w:t>
        <w:br/>
        <w:br/>
        <w:t xml:space="preserve">**DESPACHO**  </w:t>
        <w:br/>
        <w:br/>
        <w:t>Determine-se que as instruções aqui consignadas entrem em vigor imediatamente após a sua comunicação e que se proceda à sua divulgação através dos canais internos de comunicação da Administração Pública.</w:t>
        <w:br/>
        <w:br/>
        <w:t>---</w:t>
        <w:br/>
        <w:br/>
        <w:t xml:space="preserve">**O DIRETOR-GERAL**  </w:t>
        <w:br/>
        <w:t xml:space="preserve">[Assinatura]  </w:t>
        <w:br/>
        <w:t xml:space="preserve">Nome do Diretor-Geral  </w:t>
        <w:br/>
        <w:t>Direção-Geral da Administração e do Emprego Público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