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#58</w:t>
      </w:r>
    </w:p>
    <w:p>
      <w:r>
        <w:t xml:space="preserve">**GOVERNO DA REPÚBLICA**  </w:t>
        <w:br/>
        <w:t xml:space="preserve">**MINISTÉRIO DA JUSTIÇA**  </w:t>
        <w:br/>
        <w:t xml:space="preserve">**DIREÇÃO-GERAL DA POLÍTICA DE JUSTIÇA**  </w:t>
        <w:br/>
        <w:br/>
        <w:t xml:space="preserve">**DE**: Direção de Jurisprudência  </w:t>
        <w:br/>
        <w:t xml:space="preserve">**ASSUNTO**: Pedido de Orientação Jurisprudencial Uniformizada  </w:t>
        <w:br/>
        <w:t xml:space="preserve">**DATA**: 15 de Outubro de 2023  </w:t>
        <w:br/>
        <w:br/>
        <w:t xml:space="preserve">**INFORMAÇÃO**  </w:t>
        <w:br/>
        <w:br/>
        <w:t>Nos termos do artigo 123.º do Código de Processo Civil e na sequência do pedido de orientação apresentado pelo Tribunal da Relação de Lisboa, sob o processo n.º 2023/LP/5678, que versa sobre a questão da admissibilidade de prova testemunhal em sede de recurso, foi iniciada a conferência para a verificação da admissibilidade do pedido de uniformização de jurisprudência.</w:t>
        <w:br/>
        <w:br/>
        <w:t>A solicitação surgiu em virtude de decisões antagónicas proferidas por diferentes instâncias, sendo que o Tribunal da Relação de Lisboa decidiu, em acórdão de 12 de setembro de 2023, considerar a prova testemunhal admissível em casos semelhantes, enquanto o Tribunal da Relação do Porto, em acórdão de 5 de outubro de 2023, se posicionou em sentido oposto, negando a sua admissibilidade.</w:t>
        <w:br/>
        <w:br/>
        <w:t xml:space="preserve">**ALEGAÇÕES**  </w:t>
        <w:br/>
        <w:br/>
        <w:t>Em resposta ao pedido, foram solicitadas as alegações das partes interessadas, tendo sido recebido o parecer do Ministério Público, que se manifestou favoravelmente à uniformização da jurisprudência, sustentando que a divergência nas decisões dos tribunais inferiores compromete a segurança jurídica e a igualdade no tratamento de casos semelhantes.</w:t>
        <w:br/>
        <w:br/>
        <w:t>As partes foram ainda instadas a apresentar elementos adicionais que pudessem contribuir para a análise da questão, tendo o Tribunal da Relação de Lisboa recebido as alegações da parte autora e da parte ré no dia 1 de outubro de 2023.</w:t>
        <w:br/>
        <w:br/>
        <w:t xml:space="preserve">**JULGAMENTO**  </w:t>
        <w:br/>
        <w:br/>
        <w:t>Após a análise das alegações e considerando a relevância da matéria em discussão, foi marcada uma sessão de julgamento para o dia 30 de outubro de 2023, onde será discutido o mérito da questão, com a presença dos representantes das partes e do Ministério Público.</w:t>
        <w:br/>
        <w:br/>
        <w:t xml:space="preserve">**PROFERIMENTO DO ACÓRDÃO**  </w:t>
        <w:br/>
        <w:br/>
        <w:t>O acórdão resultante da presente uniformização de jurisprudência será publicado no Diário da República, na primeira semana de novembro de 2023, com a devida divulgação nas plataformas eletrónicas do Ministério da Justiça, assegurando assim a comunicação da decisão a todos os magistrados e interessados.</w:t>
        <w:br/>
        <w:br/>
        <w:t xml:space="preserve">**DESPACHO**  </w:t>
        <w:br/>
        <w:br/>
        <w:t>Determino que se proceda à notificação das partes e do Ministério Público para comparecimento na sessão de julgamento agendada, bem como à preparação da documentação necessária à publicação do acórdão, após a sua prolação.</w:t>
        <w:br/>
        <w:br/>
        <w:t xml:space="preserve">Lisboa, 15 de Outubro de 2023.  </w:t>
        <w:br/>
        <w:br/>
        <w:t xml:space="preserve">**O Direção de Jurisprudência**  </w:t>
        <w:br/>
        <w:t xml:space="preserve">[Assinatura]  </w:t>
        <w:br/>
        <w:t xml:space="preserve">[Nome do responsável]  </w:t>
        <w:br/>
        <w:t xml:space="preserve">[Cargo]  </w:t>
        <w:br/>
        <w:t xml:space="preserve">[Contactos]  </w:t>
        <w:br/>
        <w:br/>
        <w:t xml:space="preserve">**ANEXOS**:  </w:t>
        <w:br/>
        <w:t xml:space="preserve">1. Pedido de orientação jurisprudencial uniformizada.  </w:t>
        <w:br/>
        <w:t xml:space="preserve">2. PARECER do Ministério Público.  </w:t>
        <w:br/>
        <w:t xml:space="preserve">3. Alegações das partes.  </w:t>
        <w:br/>
        <w:t xml:space="preserve">4. Notificação das partes.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