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#592</w:t>
      </w:r>
    </w:p>
    <w:p>
      <w:r>
        <w:t>**GOVERNO MUNICIPAL DE EXEMPLO**</w:t>
        <w:br/>
        <w:br/>
        <w:t xml:space="preserve">**DE:** Departamento de Finanças  </w:t>
        <w:br/>
        <w:t xml:space="preserve">**ASSUNTO:** Emissão de Notas de Débito  </w:t>
        <w:br/>
        <w:t xml:space="preserve">**DATA:** 15 de março de 2024  </w:t>
        <w:br/>
        <w:br/>
        <w:t>---</w:t>
        <w:br/>
        <w:br/>
        <w:t>**INFORMAÇÃO**</w:t>
        <w:br/>
        <w:br/>
        <w:t>No âmbito da regularização de pendências financeiras, o Departamento de Finanças do Governo Municipal de Exemplo, através da Portaria nº 45/2024, de 10 de março de 2024, determina a emissão de Notas de Débito referentes aos tributos municipais em atraso. A presente comunicação visa informar os cidadãos sobre os valores devidos e os prazos para regularização.</w:t>
        <w:br/>
        <w:br/>
        <w:t xml:space="preserve">**1. DADOS DO CONTRIBUINTE**  </w:t>
        <w:br/>
        <w:t xml:space="preserve">Nome: João da Silva Pereira  </w:t>
        <w:br/>
        <w:t xml:space="preserve">NIF: 123456789  </w:t>
        <w:br/>
        <w:t xml:space="preserve">Morada: Rua das Flores, nº 25, Bairro Central, Exemplo  </w:t>
        <w:br/>
        <w:t>Cód. Postal: 1000-000 Exemplo</w:t>
        <w:br/>
        <w:br/>
        <w:t xml:space="preserve">**2. VALORES DEVIDOS**  </w:t>
        <w:br/>
        <w:t xml:space="preserve">- Imposto sobre a Propriedade Predial Urbana (IPTU) referente aos anos de 2022 e 2023: € 1.200,00  </w:t>
        <w:br/>
        <w:t xml:space="preserve">- Taxa de Licenciamento de Obras - Processo nº 2023/456: € 300,00  </w:t>
        <w:br/>
        <w:br/>
        <w:t xml:space="preserve">**Total a Pagar:** € 1.500,00  </w:t>
        <w:br/>
        <w:br/>
        <w:t xml:space="preserve">**3. PRAZO PARA REGULARIZAÇÃO**  </w:t>
        <w:br/>
        <w:t>Os valores indicados deverão ser regularizados até ao dia 30 de abril de 2024. O não pagamento no prazo estipulado poderá resultar em acréscimos de juros de mora, bem como em medidas administrativas para a cobrança da dívida.</w:t>
        <w:br/>
        <w:br/>
        <w:t xml:space="preserve">**4. FORMAS DE PAGAMENTO**  </w:t>
        <w:br/>
        <w:t xml:space="preserve">Os pagamentos poderão ser efetuados através das seguintes modalidades:  </w:t>
        <w:br/>
        <w:t xml:space="preserve">- Transferência Bancária para a conta nº 1234-5678-90 (Banco Municipal de Exemplo)  </w:t>
        <w:br/>
        <w:t>- Pagamento presencial na Tesouraria Municipal, situada na Praça da Liberdade, nº 1, Exemplo, em horário de expediente.</w:t>
        <w:br/>
        <w:br/>
        <w:t>**DESPACHO**</w:t>
        <w:br/>
        <w:br/>
        <w:t>Determina-se a notificação do contribuinte acima mencionado, sendo que a presente Nota de Débito deve ser considerada como comunicação oficial. Recomenda-se ainda que, em caso de dúvidas, o contribuinte entre em contato com o Departamento de Finanças através do telefone 123 456 789 ou pelo e-mail finanças@exemplo.pt.</w:t>
        <w:br/>
        <w:br/>
        <w:t xml:space="preserve">**Assinatura**  </w:t>
        <w:br/>
        <w:t xml:space="preserve">______________________________  </w:t>
        <w:br/>
        <w:t xml:space="preserve">Maria de Fátima Lopes  </w:t>
        <w:br/>
        <w:t xml:space="preserve">Diretora do Departamento de Finanças  </w:t>
        <w:br/>
        <w:t xml:space="preserve">Governo Municipal de Exemplo  </w:t>
        <w:br/>
        <w:br/>
        <w:t>---</w:t>
        <w:br/>
        <w:br/>
        <w:t xml:space="preserve">**CÓDIGO DE CLASSIFICAÇÃO:** 100.10.02 – 02  </w:t>
        <w:br/>
        <w:t xml:space="preserve">**DATA DE ARQUIVO:** 15 de março de 2024  </w:t>
        <w:br/>
        <w:t xml:space="preserve">**REFERÊNCIA INTERNA:** DF/2024/00123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