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#622</w:t>
      </w:r>
    </w:p>
    <w:p>
      <w:r>
        <w:t xml:space="preserve">**INSTITUTO NACIONAL DE REGULAÇÃO E SUPERVISÃO**  </w:t>
        <w:br/>
        <w:t xml:space="preserve">**DEPARTAMENTO JURÍDICO**  </w:t>
        <w:br/>
        <w:t xml:space="preserve">**AVENIDA DA LEGISLAÇÃO, Nº 123, 4º ANDAR**  </w:t>
        <w:br/>
        <w:t xml:space="preserve">**1060-000 LISBOA**  </w:t>
        <w:br/>
        <w:t xml:space="preserve">**TELEFONE: +351 21 000 0000**  </w:t>
        <w:br/>
        <w:t xml:space="preserve">**EMAIL: contacto@inrs.pt**  </w:t>
        <w:br/>
        <w:br/>
        <w:t xml:space="preserve">**Lisboa, 15 de outubro de 2023**  </w:t>
        <w:br/>
        <w:br/>
        <w:t xml:space="preserve">**ASSUNTO:** Parecer técnico-jurídico sobre a interpretação do Decreto-Lei nº 123/2023  </w:t>
        <w:br/>
        <w:br/>
        <w:t xml:space="preserve">**DESTINATÁRIO:** Direção Geral de Políticas Públicas  </w:t>
        <w:br/>
        <w:br/>
        <w:t xml:space="preserve">**INFORMAÇÃO:**  </w:t>
        <w:br/>
        <w:br/>
        <w:t>No âmbito do pedido de parecer técnico-jurídico formulado pela Direção Geral de Políticas Públicas, datado de 10 de outubro de 2023, e tendo em vista a necessidade de clarificação sobre a interpretação do Decreto-Lei nº 123/2023, que estabelece o regime jurídico da proteção de dados pessoais em entidades públicas, este Departamento Jurídico procedeu à análise do referido diploma normativo.</w:t>
        <w:br/>
        <w:br/>
        <w:t>A análise teve início com a consulta aos elementos normativos relevantes, assim como à jurisprudência aplicável, no sentido de garantir uma fundamentação sólida e coerente. Foram considerados os princípios fundamentais da proteção de dados, bem como as diretrizes da Comissão Nacional de Proteção de Dados (CNPD) e as diretrizes europeias pertinentes.</w:t>
        <w:br/>
        <w:br/>
        <w:t xml:space="preserve">**PARECER:**  </w:t>
        <w:br/>
        <w:br/>
        <w:t>Após cuidada análise, concluímos que o Decreto-Lei nº 123/2023 deve ser interpretado de forma a assegurar a compatibilidade entre a proteção de dados pessoais e os direitos de acesso à informação pública. Assim, é fundamental que as entidades públicas adotem medidas adequadas que garantam a transparência e a proteção dos dados pessoais, permitindo o exercício do direito de acesso à informação sem comprometer a privacidade dos cidadãos.</w:t>
        <w:br/>
        <w:br/>
        <w:t>A interpretação do normativo deve ainda contemplar a necessidade de se assegurar a informação vinculativa para os cidadãos, conforme preconizado pela legislação em vigor. Recomenda-se que as entidades reguladoras emitam orientações claras sobre as situações em que a proteção de dados pode ser considerada prevalente, de modo a evitar interpretações divergentes que possam levar a práticas administrativas inconsistentes.</w:t>
        <w:br/>
        <w:br/>
        <w:t xml:space="preserve">**DESPACHO:**  </w:t>
        <w:br/>
        <w:br/>
        <w:t>Deste modo, recomenda-se à Direção Geral de Políticas Públicas que:</w:t>
        <w:br/>
        <w:br/>
        <w:t>1. Proceda à divulgação deste parecer junto das entidades públicas para garantir uma aplicação uniforme do Decreto-Lei nº 123/2023.</w:t>
        <w:br/>
        <w:t>2. Elabore orientações detalhadas sobre a interação entre o direito de acesso à informação pública e a legislação de proteção de dados, assegurando a clareza na aplicação dos princípios estabelecidos.</w:t>
        <w:br/>
        <w:t>3. Promova sessões de formação para os responsáveis pelo tratamento de dados nas diversas entidades, de modo a garantir a correta implementação das normas.</w:t>
        <w:br/>
        <w:br/>
        <w:t>Este parecer é vinculativo para as entidades sob a jurisdição deste Instituto, devendo ser cumprido em sua totalidade.</w:t>
        <w:br/>
        <w:br/>
        <w:t xml:space="preserve">**FIM DO DOCUMENTO**  </w:t>
        <w:br/>
        <w:br/>
        <w:t xml:space="preserve">**Assinado digitalmente por:**  </w:t>
        <w:br/>
        <w:t xml:space="preserve">**Dr. João Silva**  </w:t>
        <w:br/>
        <w:t xml:space="preserve">**Diretor do Departamento Jurídico**  </w:t>
        <w:br/>
        <w:t xml:space="preserve">**Instituto Nacional de Regulação e Supervisão**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