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#624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**DE**: Direcção-Geral dos Assuntos Internacionais  </w:t>
        <w:br/>
        <w:t xml:space="preserve">**ASSUNTO**: Aprovação e Comunicação da Convenção Internacional sobre a Proteção da Diversidade Biológica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artigo 7.º da Lei n.º 8/2002, de 21 de fevereiro, que estabelece o regime jurídico da celebração de tratados internacionais, e no seguimento do processo de adesão de Portugal à Convenção Internacional sobre a Proteção da Diversidade Biológica, informamos que se encontra concluído o processo de análise e parecer emitido pelo Ministério dos Negócios Estrangeiros.</w:t>
        <w:br/>
        <w:br/>
        <w:t>O parecer, datado de 10 de setembro de 2023, recomenda a ratificação da referida convenção, tendo em conta a sua relevância para a conservação da biodiversidade e o desenvolvimento sustentável, bem como os compromissos assumidos a nível internacional. O documento destaca a necessidade de promover a cooperação internacional na gestão e utilização sustentável dos recursos biológicos.</w:t>
        <w:br/>
        <w:br/>
        <w:t xml:space="preserve">**DESPACHO**  </w:t>
        <w:br/>
        <w:br/>
        <w:t>Face ao exposto, e considerando a importância da referida convenção para a política ambiental do Estado Português, determina-se o seguinte:</w:t>
        <w:br/>
        <w:br/>
        <w:t>1. **Aprovação** da ratificação da Convenção Internacional sobre a Proteção da Diversidade Biológica, por parte do Governo da República.</w:t>
        <w:br/>
        <w:t>2. **Encaminhamento** do projeto de resolução para apreciação da Assembleia da República, visando a aprovação parlamentar necessária à ratificação.</w:t>
        <w:br/>
        <w:t>3. **Comunicação** ao Senhor Presidente da República para a subsequente ratificação oficial do tratado.</w:t>
        <w:br/>
        <w:t>4. **Publicação** da resolução aprovada no Diário da República, de modo a garantir a plena eficácia da convenção no ordenamento jurídico nacional.</w:t>
        <w:br/>
        <w:br/>
        <w:t>Após as etapas supracitadas, proceder-se-á ao depósito do instrumento de ratificação junto da Secretaria-Geral da Organização das Nações Unidas, conforme estipulado na própria convenção.</w:t>
        <w:br/>
        <w:br/>
        <w:t xml:space="preserve">**AVISOS**  </w:t>
        <w:br/>
        <w:br/>
        <w:t>Os avisos respeitantes à convenção, bem como documentos e informações complementares, serão disponibilizados na plataforma digital do Ministério dos Negócios Estrangeiros, garantindo assim a transparência e acesso público à informação.</w:t>
        <w:br/>
        <w:br/>
        <w:t xml:space="preserve">**Lisboa, 15 de outubro de 2023**  </w:t>
        <w:br/>
        <w:br/>
        <w:t xml:space="preserve">**Assinatura**  </w:t>
        <w:br/>
        <w:t xml:space="preserve">[Nome do Responsável]  </w:t>
        <w:br/>
        <w:t xml:space="preserve">Director-Geral dos Assuntos Internacionais  </w:t>
        <w:br/>
        <w:t>Ministério dos Negócios Estrangeiros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