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#662</w:t>
      </w:r>
    </w:p>
    <w:p>
      <w:r>
        <w:t xml:space="preserve">**GOVERNO DA REPÚBLICA PORTUGUESA**  </w:t>
        <w:br/>
        <w:t xml:space="preserve">**MINISTÉRIO DA JUSTIÇA**  </w:t>
        <w:br/>
        <w:t xml:space="preserve">**DEPARTAMENTO DE LEGISLAÇÃO E CONTROLO JURÍDICO**  </w:t>
        <w:br/>
        <w:br/>
        <w:t>---</w:t>
        <w:br/>
        <w:br/>
        <w:t xml:space="preserve">**DE**: Direção-Geral da Política de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282.º da Constituição da República Portuguesa e no artigo 1.º da Lei n.º 28/82, de 15 de Novembro, comunica-se a V. Ex.as que, na sessão plenária realizada no dia 10 de Outubro de 2023, o Tribunal Constitucional proferiu o Acórdão n.º 123/2023, que declara a inconstitucionalidade da norma constante do artigo 5.º, alínea c), do Decreto-Lei n.º 123/2022, de 14 de Julho, na parte em que estabelece a obrigatoriedade de apresentação de garantias financeiras para o acesso ao exercício de determinadas atividades profissionais.</w:t>
        <w:br/>
        <w:br/>
        <w:t xml:space="preserve">A decisão do Tribunal Constitucional fundamenta-se na violação do princípio da igualdade consagrado no artigo 13.º da Constituição, bem como na limitação do direito ao trabalho garantido pelo artigo 47.º da mesma. </w:t>
        <w:br/>
        <w:br/>
        <w:t xml:space="preserve">**DESPACHO**  </w:t>
        <w:br/>
        <w:br/>
        <w:t>Atendendo ao exposto, determino que:</w:t>
        <w:br/>
        <w:br/>
        <w:t>1. Seja dado conhecimento da presente decisão a todos os órgãos competentes, incluindo os Ministérios da Economia e da Educação, bem como às associações representativas das profissões afetadas.</w:t>
        <w:br/>
        <w:t xml:space="preserve">  </w:t>
        <w:br/>
        <w:t>2. Proceda-se à publicação do Acórdão n.º 123/2023 no Diário da República, garantindo assim a ampla divulgação da decisão e a sua consequente aplicação.</w:t>
        <w:br/>
        <w:br/>
        <w:t>3. As Direções Regionais de Educação e as entidades reguladoras das atividades profissionais afetadas devem ser informadas sobre a necessidade de adequação das suas normas internas às disposições do referido acórdão, garantindo a sua conformidade com a Constituição.</w:t>
        <w:br/>
        <w:br/>
        <w:t>4. A presente comunicação deverá ser arquivada nos termos legais aplicáveis e para efeitos de acompanhamento da sua implementação.</w:t>
        <w:br/>
        <w:br/>
        <w:t xml:space="preserve">Sem mais,  </w:t>
        <w:br/>
        <w:br/>
        <w:t xml:space="preserve">**[Assinatura]**  </w:t>
        <w:br/>
        <w:t xml:space="preserve">**Doutor(a) Maria Silva**  </w:t>
        <w:br/>
        <w:t xml:space="preserve">**Diretora-Geral da Política de Justiça**  </w:t>
        <w:br/>
        <w:t xml:space="preserve">**Governo da República Portuguesa**  </w:t>
        <w:br/>
        <w:br/>
        <w:t>---</w:t>
        <w:br/>
        <w:br/>
        <w:t xml:space="preserve">**Anexos:**  </w:t>
        <w:br/>
        <w:t xml:space="preserve">- Acórdão n.º 123/2023 do Tribunal Constitucional  </w:t>
        <w:br/>
        <w:t xml:space="preserve">- Cópia do Decreto-Lei n.º 123/2022, de 14 de Julho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