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#665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INTERNA**  </w:t>
        <w:br/>
        <w:br/>
        <w:t>---</w:t>
        <w:br/>
        <w:br/>
        <w:t xml:space="preserve">**DE:** Direção-Geral da Administração Interna  </w:t>
        <w:br/>
        <w:t xml:space="preserve">**ASSUNTO:** Instruções para a Aplicação do Decreto-Lei n.º 123/2023, de 10 de março, sobre a Proteção de Dados Pessoais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Considerando a publicação do Decreto-Lei n.º 123/2023, que estabelece o regime jurídico da proteção de dados pessoais, e a necessidade de garantir a correta interpretação e aplicação das suas disposições, esta Direção-Geral emite as seguintes instruções gerais:</w:t>
        <w:br/>
        <w:br/>
        <w:t xml:space="preserve">1. **Objetivo das Instruções**  </w:t>
        <w:br/>
        <w:t xml:space="preserve">   Estas instruções visam orientar os órgãos e agentes do Estado na aplicação das normas estabelecidas pelo Decreto-Lei n.º 123/2023, assegurando a conformidade com os princípios da proteção de dados, bem como a salvaguarda dos direitos dos titulares dos dados.</w:t>
        <w:br/>
        <w:br/>
        <w:t xml:space="preserve">2. **Esclarecimentos sobre os Princípios da Proteção de Dados**  </w:t>
        <w:br/>
        <w:t xml:space="preserve">   a) **Princípio da Licitude:** Os dados pessoais devem ser tratados de forma lícita, leal e transparente. Os agentes devem garantir que sempre que o tratamento de dados for realizado, exista uma base legal que o legitime.  </w:t>
        <w:br/>
        <w:t xml:space="preserve">   b) **Princípio da Minimização:** Apenas os dados estritamente necessários para a finalidade pretendida devem ser coletados e tratados.  </w:t>
        <w:br/>
        <w:t xml:space="preserve">   c) **Princípio da Limitação da Conservação:** Os dados pessoais devem ser mantidos apenas pelo tempo necessário para a finalidade para a qual foram coletados.</w:t>
        <w:br/>
        <w:br/>
        <w:t xml:space="preserve">3. **Orientações Práticas**  </w:t>
        <w:br/>
        <w:t xml:space="preserve">   a) Para cada tratamento de dados, deve ser realizada uma avaliação de impacto, conforme estipulado no artigo 35.º do referido Decreto-Lei.  </w:t>
        <w:br/>
        <w:t xml:space="preserve">   b) Os responsáveis pelo tratamento devem assegurar que os titulares dos dados sejam informados sobre os seus direitos, nomeadamente o direito de acesso, retificação e eliminação dos dados.  </w:t>
        <w:br/>
        <w:t xml:space="preserve">   c) Reforçamos a importância da formação contínua dos colaboradores sobre as práticas de proteção de dados.</w:t>
        <w:br/>
        <w:br/>
        <w:t xml:space="preserve">4. **Comunicação das Instruções**  </w:t>
        <w:br/>
        <w:t xml:space="preserve">   As presentes instruções devem ser divulgadas a todos os serviços e organismos que realizem tratamentos de dados, devendo ser implementadas no prazo de 30 dias após a sua recepção.</w:t>
        <w:br/>
        <w:br/>
        <w:t xml:space="preserve">5. **Esquemas Sintetizadores**  </w:t>
        <w:br/>
        <w:t xml:space="preserve">   Em anexo, encontram-se esquemas que sintetizam os principais direitos dos titulares e as obrigações dos responsáveis pelo tratamento, para facilitar a compreensão e aplicação das normas.</w:t>
        <w:br/>
        <w:br/>
        <w:t>---</w:t>
        <w:br/>
        <w:br/>
        <w:t xml:space="preserve">**DESPACHO:**  </w:t>
        <w:br/>
        <w:br/>
        <w:t>Determina-se, assim, que a presente instrução seja divulgada de forma ampla e eficaz, e que todos os serviços sob a alçada desta Direção-Geral tomem as medidas necessárias para assegurar a sua implementação.</w:t>
        <w:br/>
        <w:br/>
        <w:t>---</w:t>
        <w:br/>
        <w:br/>
        <w:t xml:space="preserve">**Diretor-Geral**  </w:t>
        <w:br/>
        <w:t xml:space="preserve">[Assinatura]  </w:t>
        <w:br/>
        <w:t xml:space="preserve">(Signatura Digital)  </w:t>
        <w:br/>
        <w:t xml:space="preserve">**Nome do Diretor**  </w:t>
        <w:br/>
        <w:t xml:space="preserve">**Direção-Geral da Administração Interna**  </w:t>
        <w:br/>
        <w:br/>
        <w:t>---</w:t>
        <w:br/>
        <w:br/>
        <w:t xml:space="preserve">**ANEXO:**  </w:t>
        <w:br/>
        <w:t xml:space="preserve">1. Esquema sobre os Direitos dos Titulares de Dados  </w:t>
        <w:br/>
        <w:t xml:space="preserve">2. Esquema sobre as Obrigações dos Responsáveis pelo Tratamento  </w:t>
        <w:br/>
        <w:br/>
        <w:t xml:space="preserve">---  </w:t>
        <w:br/>
        <w:t>**Nota:** As instruções aqui contidas devem ser consultadas em conjunto com o Decreto-Lei n.º 123/2023 e outras normativas aplicáveis.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