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DA JUSTIÇA**  </w:t>
        <w:br/>
        <w:t>**DEPARTAMENTO DE NORMATIVA E LITIGAÇÃO**</w:t>
        <w:br/>
        <w:br/>
        <w:t xml:space="preserve">**DE**: Direcção-Geral da Administração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artigo 282.º da Constituição da República e do artigo 10.º da Lei n.º 28/2009, de 19 de Junho, que estabelece o regime jurídico do Tribunal Constitucional, a Direcção-Geral da Administração da Justiça vem por este meio comunicar a decisão proferida pelo Tribunal Constitucional no Acórdão n.º 345/2023, datado de 10 de Outubro de 2023.</w:t>
        <w:br/>
        <w:br/>
        <w:t>O referido Acórdão declarou a inconstitucionalidade da norma constante do artigo 5.º, n.º 2, do Decreto-Lei n.º 123/2022, de 15 de Junho, que estabelece o regime jurídico da promoção da igualdade de género no acesso a cargos de direção pública. A decisão foi tomada por unanimidade, considerando que a norma em causa violava os princípios da igualdade e não discriminação consagrados na Constituição da República.</w:t>
        <w:br/>
        <w:br/>
        <w:t>**DESPACHO**</w:t>
        <w:br/>
        <w:br/>
        <w:t xml:space="preserve">1. **Notificação aos Órgãos Competentes**  </w:t>
        <w:br/>
        <w:t xml:space="preserve">Determina-se que esta decisão seja comunicada, no prazo de cinco dias úteis, aos seguintes órgãos e entidades:  </w:t>
        <w:br/>
        <w:t xml:space="preserve">   - Assembleia da República  </w:t>
        <w:br/>
        <w:t xml:space="preserve">   - Presidência do Conselho de Ministros  </w:t>
        <w:br/>
        <w:t xml:space="preserve">   - Ministérios da Administração Interna e da Igualdade  </w:t>
        <w:br/>
        <w:t xml:space="preserve">   - Entidades públicas afetadas pela norma declarada inconstitucional  </w:t>
        <w:br/>
        <w:br/>
        <w:t xml:space="preserve">2. **Publicação**  </w:t>
        <w:br/>
        <w:t>Após a notificação dos órgãos competentes, a Direcção-Geral da Administração da Justiça deverá proceder à publicação do presente Acórdão em Diário da República, conforme estipulado na legislação em vigor.</w:t>
        <w:br/>
        <w:br/>
        <w:t xml:space="preserve">3. **Regras de Observância**  </w:t>
        <w:br/>
        <w:t>Os órgãos e entidades notificados deverão proceder à revisão das normas internas que possam estar em desacordo com o princípio da igualdade consagrado na Constituição, garantindo a sua adequação às disposições do Acórdão.</w:t>
        <w:br/>
        <w:br/>
        <w:t xml:space="preserve">4. **Prazo para Ajustamentos**  </w:t>
        <w:br/>
        <w:t>As entidades notificadas têm um prazo de 30 dias, a contar da data da comunicação, para apresentar um relatório sobre as medidas adotadas em cumprimento desta decisão.</w:t>
        <w:br/>
        <w:br/>
        <w:t xml:space="preserve">Sem mais,  </w:t>
        <w:br/>
        <w:t xml:space="preserve">Atentamente,  </w:t>
        <w:br/>
        <w:br/>
        <w:t xml:space="preserve">**[Nome do Responsável]**  </w:t>
        <w:br/>
        <w:t xml:space="preserve">**Director-Geral da Administração da Justiça**  </w:t>
        <w:br/>
        <w:t xml:space="preserve">**Assinatura**  </w:t>
        <w:br/>
        <w:t xml:space="preserve">**Carimbo da Direcção-Geral**  </w:t>
        <w:br/>
        <w:br/>
        <w:t xml:space="preserve">--- </w:t>
        <w:br/>
        <w:br/>
        <w:t>**ANEXO**: Copia do Acórdão n.º 345/2023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