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#742</w:t>
      </w:r>
    </w:p>
    <w:p>
      <w:r>
        <w:t xml:space="preserve">**GOVERNO DA REPÚBLICA**  </w:t>
        <w:br/>
        <w:t xml:space="preserve">**MINISTÉRIO DA JUSTIÇA**  </w:t>
        <w:br/>
        <w:t xml:space="preserve">**DIRECÇÃO-GERAL DA LEGISLAÇÃO**  </w:t>
        <w:br/>
        <w:br/>
        <w:t xml:space="preserve">**DE:** Direcção-Geral da Legislação  </w:t>
        <w:br/>
        <w:t xml:space="preserve">**ASSUNTO:** Proposta de Lei sobre a Alteração do Código Penal  </w:t>
        <w:br/>
        <w:t xml:space="preserve">**DATA:** 15 de Setembro de 2023  </w:t>
        <w:br/>
        <w:br/>
        <w:t xml:space="preserve">**INFORMAÇÃO:**  </w:t>
        <w:br/>
        <w:br/>
        <w:t>Nos termos do disposto na Lei nº 123/2000, de 26 de Julho, e em conformidade com as atribuições que nos foram conferidas, apresentamos a seguinte proposta de alteração ao Código Penal, com o objetivo de atualizar e reforçar a eficácia das disposições em matéria de crimes contra a integridade física e moral das pessoas.</w:t>
        <w:br/>
        <w:br/>
        <w:t>A proposta de lei consiste em:</w:t>
        <w:br/>
        <w:br/>
        <w:t>1. **Alteração dos Artigos 132 e 133**: Proposta de aumento das penas para os crimes de agressão e ofensa à integridade física, considerando o aumento dos índices de violência registados nos últimos anos.</w:t>
        <w:br/>
        <w:t xml:space="preserve">  </w:t>
        <w:br/>
        <w:t>2. **Criação de um novo artigo**: Introdução do artigo 134-A, que tipifica o crime de assédio moral no local de trabalho, definindo as condutas que se consideram inadmissíveis e estabelecendo penas específicas.</w:t>
        <w:br/>
        <w:br/>
        <w:t>3. **Revisão das disposições sobre penas alternativas**: A proposta inclui a revisão do regime das penas alternativas, promovendo a sua aplicação em casos de menor gravidade, com o intuito de descongestionar o sistema prisional.</w:t>
        <w:br/>
        <w:br/>
        <w:t>4. **Implementação de medidas de proteção às vítimas**: A proposta prevê a criação de mecanismos de proteção das vítimas, incluindo medidas cautelares e apoio psicológico.</w:t>
        <w:br/>
        <w:br/>
        <w:t>A referida proposta foi elaborada após consulta pública e audições com diversas entidades, incluindo associações de vítimas, profissionais da justiça e especialistas em direito penal. O intuito é garantir uma legislação mais justa e eficaz, que responda às necessidades da sociedade contemporânea.</w:t>
        <w:br/>
        <w:br/>
        <w:t xml:space="preserve">**DESPACHO:**  </w:t>
        <w:br/>
        <w:br/>
        <w:t>Considerando a pertinência das alterações propostas e a necessidade de reforçar a proteção dos cidadãos, determina-se a remessa da proposta de lei ao Conselho de Ministros para apreciação e posterior discussão na Assembleia da República.</w:t>
        <w:br/>
        <w:br/>
        <w:t>Além disso, solicita-se a elaboração de um parecer jurídico sobre a compatibilidade da proposta com a Constituição da República Portuguesa, devendo este ser apresentado no prazo de 30 dias.</w:t>
        <w:br/>
        <w:br/>
        <w:t xml:space="preserve">**ASSINATURA:**  </w:t>
        <w:br/>
        <w:t xml:space="preserve">[Assinatura Digital]  </w:t>
        <w:br/>
        <w:t xml:space="preserve">João Silva  </w:t>
        <w:br/>
        <w:t xml:space="preserve">Diretor-Geral da Legislação  </w:t>
        <w:br/>
        <w:t xml:space="preserve">Ministério da Justiça  </w:t>
        <w:br/>
        <w:br/>
        <w:t xml:space="preserve">**ANEXOS:**  </w:t>
        <w:br/>
        <w:t xml:space="preserve">1. Proposta de Lei – Texto Integral  </w:t>
        <w:br/>
        <w:t xml:space="preserve">2. Relatório da Consulta Pública  </w:t>
        <w:br/>
        <w:t xml:space="preserve">3. Pareceres das Entidades Consultadas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