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#752</w:t>
      </w:r>
    </w:p>
    <w:p>
      <w:r>
        <w:t xml:space="preserve">**GABINETE DO SECRETÁRIO DE ESTADO DA JUSTIÇA**  </w:t>
        <w:br/>
        <w:t xml:space="preserve">**DE**: Secretaria de Estado da Justiça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apreciação da norma jurídica constante do Decreto-Lei n.º 123/2022, de 12 de julho, o Tribunal Constitucional, na sua sessão plenária realizada em 10 de outubro de 2023, proferiu o Acórdão n.º 457/2023, declarando a inconstitucionalidade da referida norma por violação dos princípios consagrados nos artigos 13.º e 18.º da Constituição da República.</w:t>
        <w:br/>
        <w:br/>
        <w:t>O Tribunal Constitucional entendeu que a norma em causa, ao estabelecer disposições que limitam o acesso à justiça em situações de vulnerabilidade, contraria os princípios da igualdade e da proteção dos direitos fundamentais dos cidadãos. A decisão foi unânime e reveste-se de força obrigatória geral, devendo, por conseguinte, ser observada por todos os órgãos da Administração Pública e demais entidades envolvidas.</w:t>
        <w:br/>
        <w:br/>
        <w:t xml:space="preserve">**DESPACHO**  </w:t>
        <w:br/>
        <w:br/>
        <w:t>1. Nos termos do disposto no artigo 282.º da Constituição da República e na sequência da comunicação do Acórdão n.º 457/2023, determino que se proceda ao envio da presente informação aos seguintes órgãos e entidades:</w:t>
        <w:br/>
        <w:t xml:space="preserve">   - Assembleia da República</w:t>
        <w:br/>
        <w:t xml:space="preserve">   - Ministério da Justiça</w:t>
        <w:br/>
        <w:t xml:space="preserve">   - Tribunal de Contas</w:t>
        <w:br/>
        <w:t xml:space="preserve">   - Direção-Geral da Política de Justiça</w:t>
        <w:br/>
        <w:t xml:space="preserve">   - Todos os Tribunais da jurisdição comum</w:t>
        <w:br/>
        <w:br/>
        <w:t>2. Deverá ser garantida a ampla divulgação desta decisão, por forma a assegurar que todos os cidadãos e entidades afetadas tenham conhecimento da declaração de inconstitucionalidade, promovendo-se a sua publicação em Diário da República, conforme estabelecido por lei.</w:t>
        <w:br/>
        <w:br/>
        <w:t>3. Solicito ainda que se proceda à elaboração de um relatório sobre as implicações da presente decisão, a ser submetido a este Gabinete no prazo de 30 dias, a fim de avaliar a necessidade de revisão das disposições legais e regulamentares afetadas.</w:t>
        <w:br/>
        <w:br/>
        <w:t xml:space="preserve">**ASSINATURA**  </w:t>
        <w:br/>
        <w:t xml:space="preserve">[Assinatura digital]  </w:t>
        <w:br/>
        <w:t xml:space="preserve">**Nome do Secretário de Estado**  </w:t>
        <w:br/>
        <w:t xml:space="preserve">Secretário de Estado da Justiça  </w:t>
        <w:br/>
        <w:br/>
        <w:t xml:space="preserve">---  </w:t>
        <w:br/>
        <w:br/>
        <w:t>Este documento é emitido em conformidade com as disposições legais em vigor e será devidamente arquivado para fins de consulta e transparência administrativa.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