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#762</w:t>
      </w:r>
    </w:p>
    <w:p>
      <w:r>
        <w:t xml:space="preserve">**GOVERNO DA REPÚBLICA**  </w:t>
        <w:br/>
        <w:t xml:space="preserve">**MINISTÉRIO DA INFRAESTRUTURA**  </w:t>
        <w:br/>
        <w:t xml:space="preserve">**DIREÇÃO-GERAL DE NORMATIVAS E REGULAÇÕES**  </w:t>
        <w:br/>
        <w:br/>
        <w:t xml:space="preserve">**DE**: Diretor-Geral da Direção-Geral de Normativas e Regulações  </w:t>
        <w:br/>
        <w:t xml:space="preserve">**A**: Coordenador da Comissão Técnica de Normas de Segurança Rodoviária  </w:t>
        <w:br/>
        <w:t xml:space="preserve">**ASSUNTO**: Elaboração de Norma Técnica para Sinalização Rodoviária  </w:t>
        <w:br/>
        <w:t xml:space="preserve">**DATA**: 15 de outubro de 2023  </w:t>
        <w:br/>
        <w:br/>
        <w:t>---</w:t>
        <w:br/>
        <w:br/>
        <w:t>**INFORMAÇÃO**</w:t>
        <w:br/>
        <w:br/>
        <w:t>No âmbito da melhoria contínua da segurança rodoviária e da uniformização das práticas de sinalização em território nacional, a Direção-Geral de Normativas e Regulações considera necessário a elaboração de uma norma técnica específica sobre a Sinalização Rodoviária. Esta norma deverá contemplar diretrizes claras e práticas para a instalação e manutenção de sinalização, visando a proteção dos utentes das vias e a redução de acidentes.</w:t>
        <w:br/>
        <w:br/>
        <w:t>A necessidade de uma norma técnica que regule a sinalização rodoviária foi identificada por diversos estudos realizados nos últimos anos, que evidenciam inconsistências na aplicação das normas existentes, bem como a falta de uniformidade nas práticas de sinalização em diferentes regiões do país.</w:t>
        <w:br/>
        <w:br/>
        <w:t>**PROCEDIMENTOS A SEGUIR**</w:t>
        <w:br/>
        <w:br/>
        <w:t>1. **Elaboração do Documento Normativo**: A Comissão Técnica de Normas de Segurança Rodoviária deverá iniciar a redação do projeto da norma técnica, incluindo:</w:t>
        <w:br/>
        <w:t xml:space="preserve">   - Definição dos tipos de sinalização a abranger (sinalização vertical, horizontal e semafórica).</w:t>
        <w:br/>
        <w:t xml:space="preserve">   - Critérios de instalação e manutenção.</w:t>
        <w:br/>
        <w:t xml:space="preserve">   - Procedimentos de avaliação e monitorização da eficácia das sinalizações.</w:t>
        <w:br/>
        <w:br/>
        <w:t>2. **Consulta às Partes Interessadas**: Uma vez elaborado o documento preliminar, deverá ser promovida uma consulta pública para recolha de contributos de entidades reguladoras, associações de utentes e outros interessados.</w:t>
        <w:br/>
        <w:br/>
        <w:t>3. **Análise dos Contributos**: Após o período de consulta, a Comissão Técnica deverá analisar os contributos recebidos, procedendo às adequações necessárias ao documento normativo.</w:t>
        <w:br/>
        <w:br/>
        <w:t>4. **Redação da Versão Final**: Com base na análise dos contributos, será elaborada a redação final do documento, que será submetido à Direção-Geral para apreciação e aprovação.</w:t>
        <w:br/>
        <w:br/>
        <w:t>5. **Publicação e Publicitação**: Após a aprovação da norma técnica, proceder-se-á à sua publicação em Diário da República e à divulgação junto das entidades competentes e do público em geral.</w:t>
        <w:br/>
        <w:br/>
        <w:t>**DESPACHO**</w:t>
        <w:br/>
        <w:br/>
        <w:t>Determino que a Comissão Técnica de Normas de Segurança Rodoviária inicie os trabalhos para a elaboração da norma técnica mencionada, com um prazo de três meses para a apresentação da versão preliminar. Acompanhar-se-á o progresso dos trabalhos e, assim que o projeto estiver pronto, será agendada a consulta pública.</w:t>
        <w:br/>
        <w:br/>
        <w:t>Com os melhores cumprimentos,</w:t>
        <w:br/>
        <w:br/>
        <w:t xml:space="preserve">___________________________  </w:t>
        <w:br/>
        <w:t xml:space="preserve">Dr. João Silva  </w:t>
        <w:br/>
        <w:t xml:space="preserve">Diretor-Geral  </w:t>
        <w:br/>
        <w:t xml:space="preserve">Direção-Geral de Normativas e Regulações  </w:t>
        <w:br/>
        <w:t xml:space="preserve">Ministério da Infraestrutura  </w:t>
        <w:br/>
        <w:t xml:space="preserve">Lisboa, Portugal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