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#808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**DE**: Direção-Geral da Política de Justiça  </w:t>
        <w:br/>
        <w:t xml:space="preserve">**ASSUNTO**: Comunicação da Decisão do Tribunal Constitucional  </w:t>
        <w:br/>
        <w:t xml:space="preserve">**DATA**: 15 de novembro de 2023  </w:t>
        <w:br/>
        <w:br/>
        <w:t xml:space="preserve">**INFORMAÇÃO**:  </w:t>
        <w:br/>
        <w:br/>
        <w:t xml:space="preserve">Nos termos do disposto no artigo 282.º da Constituição da República Portuguesa e do artigo 10.º da Lei nº 28/81, de 30 de agosto, comunicamos a seguinte decisão proferida pelo Tribunal Constitucional, que visa a declaração da inconstitucionalidade de normas que afetam a ordem jurídica nacional.  </w:t>
        <w:br/>
        <w:br/>
        <w:t xml:space="preserve">**DECISÃO**:  </w:t>
        <w:br/>
        <w:br/>
        <w:t xml:space="preserve">1. **Acórdão n.º 456/2023**  </w:t>
        <w:br/>
        <w:t xml:space="preserve">   O Tribunal Constitucional, na sessão plenária realizada a 10 de novembro de 2023, deliberou, por maioria de votos, a declaração de inconstitucionalidade da norma constante do artigo 5.º, alínea b), da Lei n.º 123/2022, de 15 de julho, que introduzia disposições que violam os princípios da igualdade e da não discriminação consagrados nos artigos 13.º e 15.º da Constituição.  </w:t>
        <w:br/>
        <w:br/>
        <w:t xml:space="preserve">2. **Efeitos**:  </w:t>
        <w:br/>
        <w:t xml:space="preserve">   A declaração de inconstitucionalidade produz efeitos imediatos e é vinculativa para todos os órgãos do Estado, instituições públicas e cidadãos, devendo ser observada em todos os atos administrativos e judiciais subsequentes.  </w:t>
        <w:br/>
        <w:br/>
        <w:t xml:space="preserve">3. **Publicação**:  </w:t>
        <w:br/>
        <w:t xml:space="preserve">   A presente decisão será publicada em Diário da República, de acordo com o disposto na legislação aplicável, devendo as entidades competentes proceder à sua divulgação junto dos órgãos e serviços que possam ser afetados pela mesma.  </w:t>
        <w:br/>
        <w:br/>
        <w:t xml:space="preserve">**DESPACHO**:  </w:t>
        <w:br/>
        <w:br/>
        <w:t xml:space="preserve">Assim, determina-se:  </w:t>
        <w:br/>
        <w:t xml:space="preserve">- O envio da presente comunicação aos seguintes órgãos:  </w:t>
        <w:br/>
        <w:t xml:space="preserve">  - Assembleia da República  </w:t>
        <w:br/>
        <w:t xml:space="preserve">  - Primeiro-Ministro  </w:t>
        <w:br/>
        <w:t xml:space="preserve">  - Procuradoria-Geral da República  </w:t>
        <w:br/>
        <w:t xml:space="preserve">  - Direções Gerais e Serviços que possam ser impactados pela decisão  </w:t>
        <w:br/>
        <w:br/>
        <w:t xml:space="preserve">- A publicação do Acórdão n.º 456/2023 no Diário da República, conforme legislação em vigor.  </w:t>
        <w:br/>
        <w:br/>
        <w:t xml:space="preserve">- A notificação dos interessados sobre a decisão proferida e os seus efeitos, a fim de garantir a sua correta aplicação.  </w:t>
        <w:br/>
        <w:br/>
        <w:t xml:space="preserve">**ASSINATURA**:  </w:t>
        <w:br/>
        <w:br/>
        <w:t xml:space="preserve">_________________________  </w:t>
        <w:br/>
        <w:t xml:space="preserve">Dr. João Silva  </w:t>
        <w:br/>
        <w:t xml:space="preserve">Diretor-Geral da Política de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