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#829</w:t>
      </w:r>
    </w:p>
    <w:p>
      <w:r>
        <w:t>**[Logotipo da Instituição]**</w:t>
        <w:br/>
        <w:br/>
        <w:t xml:space="preserve">**[Nome da Instituição Pública]**  </w:t>
        <w:br/>
        <w:t xml:space="preserve">**[Endereço da Instituição]**  </w:t>
        <w:br/>
        <w:t xml:space="preserve">**[Código Postal] - [Cidade]**  </w:t>
        <w:br/>
        <w:t xml:space="preserve">**[Telefone]**  </w:t>
        <w:br/>
        <w:t xml:space="preserve">**[Email]**  </w:t>
        <w:br/>
        <w:t>**[Website]**</w:t>
        <w:br/>
        <w:br/>
        <w:t>---</w:t>
        <w:br/>
        <w:br/>
        <w:t xml:space="preserve">**PROCESSO N.º:** 2023/001234  </w:t>
        <w:br/>
        <w:t xml:space="preserve">**DATA:** 15 de Outubro de 2023  </w:t>
        <w:br/>
        <w:t xml:space="preserve">**ASSUNTO:** Pedido de uniformização de jurisprudência sobre a aplicação do artigo 123.º do Código Civil  </w:t>
        <w:br/>
        <w:br/>
        <w:t>---</w:t>
        <w:br/>
        <w:br/>
        <w:t>**INFORMAÇÃO**</w:t>
        <w:br/>
        <w:br/>
        <w:t xml:space="preserve">À luz do pedido de uniformização de jurisprudência apresentado pelo Advogado Dr. João Silva, em representação do requerente, no qual se solicita esclarecimento sobre a interpretação e aplicação do artigo 123.º do Código Civil, foi realizada a conferência para admissibilidade do pedido em data de 10 de Outubro de 2023. </w:t>
        <w:br/>
        <w:br/>
        <w:t xml:space="preserve">Verificou-se que foram proferidas decisões divergentes nos processos n.º 2022/004567 e 2022/005678, ambas no Tribunal da Relação de Lisboa, relativamente à questão da “prescrição de direitos” na aplicação do referido artigo, o que justifica a necessidade de uma decisão de uniformização. </w:t>
        <w:br/>
        <w:br/>
        <w:t>Na conferência, foram apresentadas as alegações do requerente e dos intervenientes, sendo que as partes expuseram os respetivos entendimentos sobre a matéria em causa. O requerente sustentou que a interpretação mais restritiva do artigo 123.º prejudica o direito à proteção dos direitos dos cidadãos, enquanto o interveniente, representante do Ministério Público, defendeu uma abordagem mais conservadora, alinhada com a jurisprudência estabelecida.</w:t>
        <w:br/>
        <w:br/>
        <w:t>Após análise das alegações e dos argumentos apresentados, foi deliberado que a questão é relevante e merece ser apreciada em sede de julgamento.</w:t>
        <w:br/>
        <w:br/>
        <w:t>---</w:t>
        <w:br/>
        <w:br/>
        <w:t>**DESPACHO**</w:t>
        <w:br/>
        <w:br/>
        <w:t>Em face do exposto, determino a abertura do processo de uniformização de jurisprudência, com a convocação da formação competente para o efeito.</w:t>
        <w:br/>
        <w:br/>
        <w:t>A presente decisão será publicada no Diário da Justiça e comunicada aos interessados, de modo a garantir a ampla divulgação e conhecimento da orientação a ser adotada.</w:t>
        <w:br/>
        <w:br/>
        <w:t>Lisboa, 15 de Outubro de 2023</w:t>
        <w:br/>
        <w:br/>
        <w:t xml:space="preserve">**[Nome do Responsável]**  </w:t>
        <w:br/>
        <w:t xml:space="preserve">**[Cargo do Responsável]**  </w:t>
        <w:br/>
        <w:t>**[Assinatura]**</w:t>
        <w:br/>
        <w:br/>
        <w:t>---</w:t>
        <w:br/>
        <w:br/>
        <w:t xml:space="preserve">**NOTAS ADICIONAIS:**  </w:t>
        <w:br/>
        <w:t xml:space="preserve">Os interessados poderão consultar os documentos relacionados no portal da instituição, na secção de jurisprudência, ou contactar o escritório através do e-mail acima indicado.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