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#877</w:t>
      </w:r>
    </w:p>
    <w:p>
      <w:r>
        <w:t xml:space="preserve">**DE**: Tribunal da Relação de Lisboa  </w:t>
        <w:br/>
        <w:t xml:space="preserve">**ASSUNTO**: Pedido de uniformização de jurisprudência  </w:t>
        <w:br/>
        <w:t xml:space="preserve">**DATA**: 15 de outubro de 2023  </w:t>
        <w:br/>
        <w:br/>
        <w:t xml:space="preserve">**INFORMAÇÃO**:  </w:t>
        <w:br/>
        <w:br/>
        <w:t>Nos termos do artigo 26.º da Lei n.º 62/2013, de 26 de agosto, e após receção do pedido de uniformização de jurisprudência apresentado pelo Sr. Dr. João Mendes, advogado, com a referência de processo n.º 1234/2023, relativo à divergência de soluções proferidas em processos de igual matéria, cumpre informar o seguinte:</w:t>
        <w:br/>
        <w:br/>
        <w:t>1. **Contexto**: O pedido em questão decorre da existência de decisões contraditórias proferidas por diferentes instâncias sobre a interpretação do artigo 15.º do Código Civil, que versa sobre a nulidade de cláusulas contratuais. As decisões divergentes foram identificadas nas sentenças proferidas pelo Tribunal Judicial da Comarca de Lisboa (processo n.º 5678/2021) e pelo Tribunal Judicial da Comarca do Porto (processo n.º 91011/2022).</w:t>
        <w:br/>
        <w:br/>
        <w:t>2. **Conferência para Admissibilidade**: Em reunião realizada no dia 10 de outubro de 2023, este tribunal deliberou sobre a admissibilidade do pedido de uniformização, considerando que a questão levantada apresenta relevância jurídica e justifica a análise em sede de uniformização. Foram ouvidos os representantes das partes envolvidas, tendo sido aceites as alegações apresentadas.</w:t>
        <w:br/>
        <w:br/>
        <w:t>3. **Alegações**: As partes foram notificadas para apresentarem as suas alegações escritas no prazo de 10 dias, tendo a data limite sido fixada para 25 de outubro de 2023. As alegações devem abordar, nomeadamente, a interpretação do artigo 15.º do Código Civil, as implicações da nulidade de cláusulas contratuais e a consequente necessidade de uniformização da jurisprudência.</w:t>
        <w:br/>
        <w:br/>
        <w:t>4. **Julgamento**: Após a receção das alegações, o tribunal agendará uma sessão para o julgamento do pedido, onde serão discutidos os argumentos apresentados e será proferido o acórdão que visa estabelecer uma orientação jurisprudencial uniformizada sobre a matéria em apreço.</w:t>
        <w:br/>
        <w:br/>
        <w:t>5. **Publicação da Decisão**: O acórdão resultante do julgamento será publicado no Diário da República e na página eletrónica deste tribunal, de modo a assegurar a ampla divulgação da decisão e a orientação aos operadores do direito.</w:t>
        <w:br/>
        <w:br/>
        <w:t xml:space="preserve">**DESPACHO**:  </w:t>
        <w:br/>
        <w:t xml:space="preserve">Determino a notificação das partes para a apresentação de alegações, conforme estipulado no ponto 3 deste documento. Após a receção das alegações, o tribunal procederá ao agendamento da sessão de julgamento.  </w:t>
        <w:br/>
        <w:br/>
        <w:t xml:space="preserve">**Assinatura**:  </w:t>
        <w:br/>
        <w:t xml:space="preserve">________________________________  </w:t>
        <w:br/>
        <w:t xml:space="preserve">Dr. Pedro Silva  </w:t>
        <w:br/>
        <w:t xml:space="preserve">Presidente do Tribunal da Relação de Lisboa  </w:t>
        <w:br/>
        <w:t>Lisboa, 15 de outubro de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