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#88</w:t>
      </w:r>
    </w:p>
    <w:p>
      <w:r>
        <w:t>**GOVERNO DA REPÚBLICA**</w:t>
        <w:br/>
        <w:br/>
        <w:t>**DEPARTAMENTO DE LEGISLAÇÃO E NORMATIVA**</w:t>
        <w:br/>
        <w:br/>
        <w:t>**ASSUNTO:** Proposta de Lei sobre a Regulação da Mobilidade Elétrica</w:t>
        <w:br/>
        <w:br/>
        <w:t>**DATA:** 15 de Março de 2023</w:t>
        <w:br/>
        <w:br/>
        <w:t>---</w:t>
        <w:br/>
        <w:br/>
        <w:t>**INFORMAÇÃO**</w:t>
        <w:br/>
        <w:br/>
        <w:t>Nos termos da legislação em vigor e da atribuição de competências ao Departamento de Legislação e Normativa, foi apresentada a proposta de lei que visa a criação de um regime jurídico para a promoção e regulação da mobilidade elétrica no território nacional. Esta iniciativa legislativa surge como resposta à crescente necessidade de sustentabilidade ambiental e à transição para formas de mobilidade mais limpas.</w:t>
        <w:br/>
        <w:br/>
        <w:t>O projeto de lei foi elaborado em colaboração com diversas entidades competentes, incluindo o Ministério da Infraestrutura e o Ministério do Ambiente, e inclui os seguintes elementos essenciais:</w:t>
        <w:br/>
        <w:br/>
        <w:t xml:space="preserve">1. **Objetivos da Proposta:**  </w:t>
        <w:br/>
        <w:t xml:space="preserve">   a. Estabelecer um quadro normativo que regulamente a instalação de infraestruturas de carregamento elétrico;  </w:t>
        <w:br/>
        <w:t xml:space="preserve">   b. Promover incentivos à utilização de veículos elétricos;  </w:t>
        <w:br/>
        <w:t xml:space="preserve">   c. Definir responsabilidades para a gestão e manutenção das infraestruturas de carregamento.</w:t>
        <w:br/>
        <w:br/>
        <w:t xml:space="preserve">2. **Documentação Anexa:**  </w:t>
        <w:br/>
        <w:t xml:space="preserve">   a. Análise de impacto ambiental;  </w:t>
        <w:br/>
        <w:t xml:space="preserve">   b. Estudo de viabilidade económica;  </w:t>
        <w:br/>
        <w:t xml:space="preserve">   c. Relatório de consulta pública.</w:t>
        <w:br/>
        <w:br/>
        <w:t xml:space="preserve">3. **Processo de Apreciação:**  </w:t>
        <w:br/>
        <w:t>A proposta de lei será discutida em reunião da Comissão de Assuntos Económicos e da Comissão de Ambiente, com a previsão de votação na Assembleia da República no próximo mês. A verificação jurídica da proposta foi realizada, e todos os pareceres foram favoráveis.</w:t>
        <w:br/>
        <w:br/>
        <w:t>**DESPACHO**</w:t>
        <w:br/>
        <w:br/>
        <w:t>Considerando a relevância da proposta de lei para os objetivos de política pública em matéria de mobilidade sustentável, determino que:</w:t>
        <w:br/>
        <w:br/>
        <w:t xml:space="preserve">1. A proposta seja incluída na ordem do dia da próxima sessão plenária da Assembleia da República;  </w:t>
        <w:br/>
        <w:t xml:space="preserve">2. A divulgação pública da proposta de lei seja realizada através dos canais oficiais do Governo, garantindo a participação cidadã no processo legislativo;  </w:t>
        <w:br/>
        <w:t>3. O Departamento de Legislação e Normativa mantenha a supervisão do processo legislativo, assegurando o cumprimento dos prazos estabelecidos.</w:t>
        <w:br/>
        <w:br/>
        <w:t>A presente decisão é fundamentada na necessidade de promover a inovação e sustentabilidade no setor da mobilidade, em consonância com os compromissos assumidos a nível europeu.</w:t>
        <w:br/>
        <w:br/>
        <w:t>**ASSINATURA**</w:t>
        <w:br/>
        <w:br/>
        <w:t xml:space="preserve">______________________________  </w:t>
        <w:br/>
        <w:t xml:space="preserve">[Nome do Responsável]  </w:t>
        <w:br/>
        <w:t xml:space="preserve">Diretor do Departamento de Legislação e Normativa  </w:t>
        <w:br/>
        <w:t xml:space="preserve">Governo da República  </w:t>
        <w:br/>
        <w:br/>
        <w:t>---</w:t>
        <w:br/>
        <w:br/>
        <w:t xml:space="preserve">**C/C:**  </w:t>
        <w:br/>
        <w:t xml:space="preserve">- Ministério da Infraestrutura  </w:t>
        <w:br/>
        <w:t xml:space="preserve">- Ministério do Ambiente  </w:t>
        <w:br/>
        <w:t xml:space="preserve">- Arquivo Geral do Governo  </w:t>
        <w:br/>
        <w:t xml:space="preserve">- Gabinete do Primeiro-Ministro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