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#894</w:t>
      </w:r>
    </w:p>
    <w:p>
      <w:r>
        <w:t>**GOVERNO DO ESTADO**</w:t>
        <w:br/>
        <w:br/>
        <w:t>**TRIBUNAL DE JUSTIÇA**</w:t>
        <w:br/>
        <w:br/>
        <w:t>**DEPARTAMENTO DE JURISPRUDÊNCIA**</w:t>
        <w:br/>
        <w:br/>
        <w:t>**PROCESSO N.º 2023/0487**</w:t>
        <w:br/>
        <w:br/>
        <w:t>**ASSUNTO:** Pedido de Orientação Jurisprudencial Uniformizada</w:t>
        <w:br/>
        <w:br/>
        <w:t>**DATA:** 15 de março de 2023</w:t>
        <w:br/>
        <w:br/>
        <w:t>---</w:t>
        <w:br/>
        <w:br/>
        <w:t>**INFORMAÇÃO**</w:t>
        <w:br/>
        <w:br/>
        <w:t>No âmbito da análise do pedido de orientação jurisprudencial uniformizada apresentado pela Parte Requerente, e considerando a existência de decisões divergentes sobre a matéria em questão, foram realizadas as seguintes diligências:</w:t>
        <w:br/>
        <w:br/>
        <w:t>1. **Análise do Pedido:**</w:t>
        <w:br/>
        <w:t xml:space="preserve">   O pedido de uniformização de jurisprudência foi submetido com a alegação de que existem decisões antagónicas proferidas por diferentes instâncias sobre a aplicação do artigo 45.º da Lei n.º 123/2020, que regula a responsabilidade civil em casos de acidente de trabalho. O requerente solicitou a definição de uma posição consolidada sobre a interpretação do conceito de “negligência grave” previsto na referida lei.</w:t>
        <w:br/>
        <w:br/>
        <w:t>2. **Conferência para Admissibilidade:**</w:t>
        <w:br/>
        <w:t xml:space="preserve">   A conferência para a admissibilidade do pedido foi realizada no dia 5 de abril de 2023, onde estiveram presentes os juízes designados e o representante do Ministério Público. Após a análise dos autos e das decisões mencionadas, foi deliberado pela admissibilidade do pedido, considerando a relevância da questão para a jurisprudência nacional.</w:t>
        <w:br/>
        <w:br/>
        <w:t>3. **Alegações das Partes:**</w:t>
        <w:br/>
        <w:t xml:space="preserve">   Foram solicitadas as alegações das partes envolvidas, tendo sido apresentadas por escrito as posições da Parte Requerente e da Parte Contrária até o dia 20 de abril de 2023. As alegações foram analisadas e discutidas na sessão de julgamento.</w:t>
        <w:br/>
        <w:br/>
        <w:t>4. **Julgamento:**</w:t>
        <w:br/>
        <w:t xml:space="preserve">   O julgamento do pedido de uniformização ocorreu no dia 10 de maio de 2023, em sessão plenária, onde foram debatidas as diversas interpretações do artigo 45.º da Lei n.º 123/2020. As opiniões divergentes foram consideradas, com um enfoque especial na necessidade de garantir a segurança jurídica e a equidade nas decisões.</w:t>
        <w:br/>
        <w:br/>
        <w:t>5. **Proferição do Acórdão:**</w:t>
        <w:br/>
        <w:t xml:space="preserve">   O acórdão foi proferido no dia 15 de maio de 2023, com a decisão de que, para efeitos de uniformização, se considera que o conceito de “negligência grave” deve ser interpretado à luz dos critérios objetivos e subjetivos, devendo ser avaliados os comportamentos do agente no contexto do acidente. A decisão foi unânime entre os juízes presentes.</w:t>
        <w:br/>
        <w:br/>
        <w:t>---</w:t>
        <w:br/>
        <w:br/>
        <w:t>**DESPACHO**</w:t>
        <w:br/>
        <w:br/>
        <w:t>Determino que a presente decisão de uniformização de jurisprudência seja publicada no Diário da Justiça, com o objetivo de informar as partes e demais operadores do Direito sobre a interpretação agora consolidada sobre a matéria. Recomendo que seja dado destaque à importância da uniformização de jurisprudência para a estabilidade das decisões judiciais.</w:t>
        <w:br/>
        <w:br/>
        <w:t>Lisboa, 15 de maio de 2023.</w:t>
        <w:br/>
        <w:br/>
        <w:t xml:space="preserve">**(Assinatura)**  </w:t>
        <w:br/>
        <w:t xml:space="preserve">**Dr. João Silva**  </w:t>
        <w:br/>
        <w:t xml:space="preserve">**Presidente da Secção de Direito Civil**  </w:t>
        <w:br/>
        <w:t xml:space="preserve">**Tribunal de Justiça**  </w:t>
        <w:br/>
        <w:t>**Governo do Estado**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