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#911</w:t>
      </w:r>
    </w:p>
    <w:p>
      <w:r>
        <w:t xml:space="preserve">**GOVERNO DE PORTUGAL**  </w:t>
        <w:br/>
        <w:t xml:space="preserve">**MINISTÉRIO DOS NEGÓCIOS ESTRANGEIROS**  </w:t>
        <w:br/>
        <w:t xml:space="preserve">**DIRECÇÃO-GERAL DOS ASSUNTOS INTERNACIONAIS**  </w:t>
        <w:br/>
        <w:br/>
        <w:t xml:space="preserve">**DE:** Direcção-Geral dos Assuntos Internacionais  </w:t>
        <w:br/>
        <w:t xml:space="preserve">**ASSUNTO:** Aprovação e Comunicação da Convenção Internacional sobre a Proteção do Património Cultural Subaquático  </w:t>
        <w:br/>
        <w:t xml:space="preserve">**DATA:** 15 de Novembro de 2023  </w:t>
        <w:br/>
        <w:br/>
        <w:t>---</w:t>
        <w:br/>
        <w:br/>
        <w:t xml:space="preserve">**INFORMAÇÃO**  </w:t>
        <w:br/>
        <w:br/>
        <w:t>Nos termos do disposto na Constituição da República Portuguesa e da legislação em vigor, a Direcção-Geral dos Assuntos Internacionais apresenta o seguinte parecer sobre a convenção internacional em epígrafe, a qual visa a proteção do património cultural subaquático e a promoção da cooperação entre Estados para a sua preservação.</w:t>
        <w:br/>
        <w:br/>
        <w:t>A proposta de vinculação à Convenção Internacional sobre a Proteção do Património Cultural Subaquático foi submetida ao Ministério dos Negócios Estrangeiros pela Direcção-Geral do Património Cultural, tendo sido analisada sob a óptica jurídica e técnica. O parecer elaborado, datado de 05 de Novembro de 2023, conclui que a adesão a esta convenção é do interesse nacional, uma vez que Portugal possui um vasto património subaquático que deve ser protegido e valorizado.</w:t>
        <w:br/>
        <w:br/>
        <w:t xml:space="preserve">**DESPACHO**  </w:t>
        <w:br/>
        <w:br/>
        <w:t xml:space="preserve">Face ao exposto, e considerando a relevância da convenção para a preservação do património cultural nacional, propõe-se a aprovação da vinculação do Estado Português à referida convenção internacional. </w:t>
        <w:br/>
        <w:br/>
        <w:t xml:space="preserve">**1. Aprovação:**  </w:t>
        <w:br/>
        <w:t>Solicita-se a aprovação da referida convenção pelo Conselho de Ministros na próxima reunião agendada para 25 de Novembro de 2023.</w:t>
        <w:br/>
        <w:br/>
        <w:t xml:space="preserve">**2. Ratificação:**  </w:t>
        <w:br/>
        <w:t>Após a aprovação pelo Conselho de Ministros, requer-se que a ratificação seja realizada pelo Senhor Presidente da República, conforme as formalidades legais estabelecidas.</w:t>
        <w:br/>
        <w:br/>
        <w:t xml:space="preserve">**3. Publicação:**  </w:t>
        <w:br/>
        <w:t>Uma vez ratificada, a convenção deverá ser publicada no Diário da República, assegurando a sua entrada em vigor e a comunicação aos restantes Estados contratantes.</w:t>
        <w:br/>
        <w:br/>
        <w:t xml:space="preserve">**4. Comunicação:**  </w:t>
        <w:br/>
        <w:t>Deve ser efetuada a comunicação do depósito do instrumento de ratificação junto da UNESCO, entidade responsável pelo acompanhamento da implementação da convenção.</w:t>
        <w:br/>
        <w:br/>
        <w:t xml:space="preserve">**5. Arquivamento:**  </w:t>
        <w:br/>
        <w:t>Os documentos referentes a esta convenção, incluindo pareceres técnicos, aprovações, comunicações e publicações, deverão ser devidamente arquivados e catalogados na Direcção-Geral dos Assuntos Internacionais.</w:t>
        <w:br/>
        <w:br/>
        <w:t xml:space="preserve">Lisboa, 15 de Novembro de 2023  </w:t>
        <w:br/>
        <w:br/>
        <w:t xml:space="preserve">**O DIRECTOR-GERAL**  </w:t>
        <w:br/>
        <w:t xml:space="preserve">[Assinatura]  </w:t>
        <w:br/>
        <w:t xml:space="preserve">[Nome do Director-Geral]  </w:t>
        <w:br/>
        <w:t xml:space="preserve">**Direcção-Geral dos Assuntos Internacionais**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