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#912</w:t>
      </w:r>
    </w:p>
    <w:p>
      <w:r>
        <w:t>**GOVERNO DA REPÚBLICA**</w:t>
        <w:br/>
        <w:br/>
        <w:t>**MINISTÉRIO DA JUSTIÇA**</w:t>
        <w:br/>
        <w:br/>
        <w:t>**DEPARTAMENTO DE LEGISLAÇÃO E FISCALIZAÇÃO**</w:t>
        <w:br/>
        <w:br/>
        <w:t>**AVISO N.º 2023/142**</w:t>
        <w:br/>
        <w:br/>
        <w:t>**ASSUNTO:** Comunicação de decisão do Tribunal Constitucional</w:t>
        <w:br/>
        <w:br/>
        <w:t>**DATA:** 12 de Outubro de 2023</w:t>
        <w:br/>
        <w:br/>
        <w:t>---</w:t>
        <w:br/>
        <w:br/>
        <w:t>**INFORMAÇÃO:**</w:t>
        <w:br/>
        <w:br/>
        <w:t>Nos termos do disposto no artigo 282.º da Constituição da República e na sequência do Acórdão do Tribunal Constitucional n.º 251/2023, datado de 5 de Outubro de 2023, torna-se pública a declaração de inconstitucionalidade da norma constante do artigo 10.º do Decreto-Lei n.º 123/2021, que estabelece o regime jurídico dos contratos de concessão de serviços públicos.</w:t>
        <w:br/>
        <w:br/>
        <w:t>O referido acórdão determina que a norma em questão viola os princípios da igualdade e da não discriminação, consagrados nos artigos 13.º e 47.º da Constituição da República. A decisão do Tribunal Constitucional produz efeitos imediatos e deve ser observada por todos os órgãos da Administração Pública, bem como por entidades privadas que operem no âmbito da concessão de serviços públicos.</w:t>
        <w:br/>
        <w:br/>
        <w:t>**DESPACHO:**</w:t>
        <w:br/>
        <w:br/>
        <w:t>1. **Encaminhamento:** Este aviso deverá ser enviado a todos os Ministérios e Órgãos da Administração Pública, incluindo as entidades reguladoras e fiscalizadoras, para que adotem as medidas necessárias à imediata adequação das suas práticas à decisão do Tribunal Constitucional.</w:t>
        <w:br/>
        <w:br/>
        <w:t>2. **Publicação:** Determina-se a publicação deste aviso no Diário da República, de forma a assegurar a publicidade necessária e garantir o conhecimento da decisão pelo público em geral.</w:t>
        <w:br/>
        <w:br/>
        <w:t>3. **Prazo de Adaptação:** As entidades referidas terão um prazo de 60 dias para proceder à revisão da legislação e regulamentação aplicáveis, de modo a assegurar a conformidade com a presente decisão.</w:t>
        <w:br/>
        <w:br/>
        <w:t>4. **Relato de Acompanhamento:** As entidades competentes deverão reportar ao Ministério da Justiça o estado de implementação das medidas adotadas, até ao final do prazo estabelecido.</w:t>
        <w:br/>
        <w:br/>
        <w:t>**ASSINATURA:**</w:t>
        <w:br/>
        <w:br/>
        <w:t>_____________________________</w:t>
        <w:br/>
        <w:br/>
        <w:t xml:space="preserve">**Dr. João Silva**  </w:t>
        <w:br/>
        <w:t xml:space="preserve">**Diretor-Geral do Departamento de Legislação e Fiscalização**  </w:t>
        <w:br/>
        <w:t xml:space="preserve">**Ministério da Justiça**  </w:t>
        <w:br/>
        <w:t>**Data: 12 de Outubro de 2023**</w:t>
        <w:br/>
        <w:br/>
        <w:t>---</w:t>
        <w:br/>
        <w:br/>
        <w:t xml:space="preserve">**CIRCULAÇÃO:**  </w:t>
        <w:br/>
        <w:t xml:space="preserve">Ministério da Justiça  </w:t>
        <w:br/>
        <w:t xml:space="preserve">Ministério da Administração Interna  </w:t>
        <w:br/>
        <w:t xml:space="preserve">Ministério da Economia  </w:t>
        <w:br/>
        <w:t xml:space="preserve">Tribunal de Contas  </w:t>
        <w:br/>
        <w:t xml:space="preserve">Direções Gerais pertinentes  </w:t>
        <w:br/>
        <w:t>Jornais de referência para publicação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