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#91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**DEPARTAMENTO DE REGRAS E NORMATIVA**  </w:t>
        <w:br/>
        <w:br/>
        <w:t xml:space="preserve">**AVISO N.º 005/2023**  </w:t>
        <w:br/>
        <w:t xml:space="preserve">**ASSUNTO:** Aprovação e Publicitação do Regulamento Interno de Funcionamento do Centro Cultural Municipal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disposto na Lei n.º 123/2023, que estabelece a organização e funcionamento dos centros culturais em território municipal, e considerando a necessidade de regulamentar o funcionamento do Centro Cultural Municipal, foi elaborado o projeto de Regulamento Interno, o qual foi submetido à apreciação e verificação jurídica.</w:t>
        <w:br/>
        <w:br/>
        <w:t xml:space="preserve">O projeto de regulamento foi discutido em reunião do Conselho Municipal de Cultura, realizada no dia 10 de outubro de 2023, tendo sido aprovado por unanimidade. Após a verificação jurídica realizada pelo Departamento de Assuntos Jurídicos, não foram identificadas inconformidades legais. </w:t>
        <w:br/>
        <w:br/>
        <w:t xml:space="preserve">O regulamento contém disposições sobre a estrutura organizacional do centro, atribuições dos colaboradores, normas de funcionamento, bem como procedimentos relacionados à cedência de espaços e realização de eventos. </w:t>
        <w:br/>
        <w:br/>
        <w:t>---</w:t>
        <w:br/>
        <w:br/>
        <w:t xml:space="preserve">**DESPACHO**  </w:t>
        <w:br/>
        <w:br/>
        <w:t xml:space="preserve">Considerando a aprovação do regulamento e a ausência de quaisquer impedimentos legais, determino:  </w:t>
        <w:br/>
        <w:br/>
        <w:t>1. A publicação do Regulamento Interno de Funcionamento do Centro Cultural Municipal em Diário Oficial do Município, no prazo de cinco (5) dias úteis, a contar da presente data.</w:t>
        <w:br/>
        <w:t>2. A comunicação do presente aviso aos departamentos competentes, para que adotem as providências necessárias à implementação das medidas previstas no regulamento.</w:t>
        <w:br/>
        <w:t>3. Que se proceda à divulgação do regulamento em meio eletrônico e nos espaços físicos do Centro Cultural Municipal, garantindo o acesso à informação por todos os cidadãos.</w:t>
        <w:br/>
        <w:br/>
        <w:t>Este aviso entra em vigor na data da sua publicação.</w:t>
        <w:br/>
        <w:br/>
        <w:t>---</w:t>
        <w:br/>
        <w:br/>
        <w:t xml:space="preserve">**Assinatura**  </w:t>
        <w:br/>
        <w:t xml:space="preserve">_________________________________  </w:t>
        <w:br/>
        <w:t xml:space="preserve">João Silva  </w:t>
        <w:br/>
        <w:t xml:space="preserve">Diretor do Departamento de Regras e Normativa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