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#923</w:t>
      </w:r>
    </w:p>
    <w:p>
      <w:r>
        <w:t>**[Cabeçalho Oficial]**</w:t>
        <w:br/>
        <w:br/>
        <w:t xml:space="preserve">**DE:** Tribunal Superior de Justiça  </w:t>
        <w:br/>
        <w:t xml:space="preserve">**ASSUNTO:** Decisão de Uniformização de Jurisprudência  </w:t>
        <w:br/>
        <w:t xml:space="preserve">**DATA:** 10 de outubro de 2023  </w:t>
        <w:br/>
        <w:t xml:space="preserve">**PROCESSO N.º:** 123/2023  </w:t>
        <w:br/>
        <w:br/>
        <w:t>---</w:t>
        <w:br/>
        <w:br/>
        <w:t>**INFORMAÇÃO:**</w:t>
        <w:br/>
        <w:br/>
        <w:t>Na sequência do pedido formulado pelo advogado Dr. João Silva, inscrito na Ordem dos Advogados sob o n.º 45678, este Tribunal procede à análise da questão jurídica que envolve a interpretação do artigo 45.º do Código Civil, na qual foram proferidas decisões divergentes em instâncias inferiores.</w:t>
        <w:br/>
        <w:br/>
        <w:t>O pedido de uniformização foi apresentado em virtude de a jurisprudência ter produzido decisões contraditórias sobre a aplicabilidade da prescrição em casos de contratos de adesão, gerando insegurança jurídica e necessitando, assim, de um posicionamento claro e uniforme por parte deste Tribunal.</w:t>
        <w:br/>
        <w:br/>
        <w:t>**ANÁLISE:**</w:t>
        <w:br/>
        <w:br/>
        <w:t>Após a receção do pedido, foi realizada uma conferência para a admissibilidade, na qual foram ouvidas as partes interessadas, sendo que foram recebidas as alegações do requerente e do Ministério Público. As partes apresentaram as suas posições sobre a questão da prescrição e a sua aplicação aos contratos de adesão, evidenciando a necessidade de um entendimento consolidado.</w:t>
        <w:br/>
        <w:br/>
        <w:t>O julgamento ocorreu em 5 de outubro de 2023, em sessão plenária, onde os juízes deste Tribunal analisaram as diversas decisões proferidas, levando em consideração os princípios da boa-fé, da proteção do consumidor e a interpretação teleológica do normativo em questão.</w:t>
        <w:br/>
        <w:br/>
        <w:t>**DECISÃO:**</w:t>
        <w:br/>
        <w:br/>
        <w:t>Por maioria de votos, este Tribunal decidiu que, em casos de contratos de adesão, a contagem do prazo de prescrição deve ser iniciada a partir do momento em que o aderente teve conhecimento do facto gerador do direito, e não da celebração do contrato. Assim, a posição a ser adotada, a partir desta data, é a de que a prescrição em contratos de adesão não pode ser aplicada de forma automática, devendo sempre considerar-se a posição do aderente em relação ao conhecimento do direito.</w:t>
        <w:br/>
        <w:br/>
        <w:t>**PUBLICAÇÃO:**</w:t>
        <w:br/>
        <w:br/>
        <w:t xml:space="preserve">A presente decisão será publicada na plataforma eletrónica deste Tribunal e disponível para consulta pública a partir de 15 de outubro de 2023, garantindo assim a transparência e acessibilidade da informação para todos os interessados. </w:t>
        <w:br/>
        <w:br/>
        <w:t>**DESPACHO:**</w:t>
        <w:br/>
        <w:br/>
        <w:t>Notifique-se as partes envolvidas do teor da presente decisão e providencie-se a publicação nos meios adequados, conforme regulamentação interna.</w:t>
        <w:br/>
        <w:br/>
        <w:t>---</w:t>
        <w:br/>
        <w:br/>
        <w:t>**Assinatura:**</w:t>
        <w:br/>
        <w:br/>
        <w:t xml:space="preserve">[Nome do Juiz Relator]  </w:t>
        <w:br/>
        <w:t xml:space="preserve">Juiz do Tribunal Superior de Justiça  </w:t>
        <w:br/>
        <w:t>[Carimbo do Tribunal]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