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#930</w:t>
      </w:r>
    </w:p>
    <w:p>
      <w:r>
        <w:t xml:space="preserve">**MINISTÉRIO DA JUSTIÇA**  </w:t>
        <w:br/>
        <w:t xml:space="preserve">**DIRECÇÃO-GERAL DA ADMINISTRAÇÃO DA JUSTIÇA**  </w:t>
        <w:br/>
        <w:t xml:space="preserve">**DE: Direcção de Normas e Procedimentos**  </w:t>
        <w:br/>
        <w:t xml:space="preserve">**ASSUNTO: Instruções para aplicação da Lei n.º 123/2023, de 15 de julho**  </w:t>
        <w:br/>
        <w:t xml:space="preserve">**DATA: 30 de outubro de 2023**  </w:t>
        <w:br/>
        <w:br/>
        <w:t>---</w:t>
        <w:br/>
        <w:br/>
        <w:t>**INFORMAÇÃO**</w:t>
        <w:br/>
        <w:br/>
        <w:t>No âmbito da execução da Lei n.º 123/2023, que estabelece o regime jurídico de proteção de dados pessoais, e considerando as necessidades de clareza e uniformidade na sua aplicação, a Direcção-Geral da Administração da Justiça, através da sua Direcção de Normas e Procedimentos, elaborou as seguintes instruções para os órgãos e agentes responsáveis pela aplicação desta norma.</w:t>
        <w:br/>
        <w:br/>
        <w:t xml:space="preserve">**1. OBJETIVO**  </w:t>
        <w:br/>
        <w:t>O presente documento tem como finalidade orientar os serviços e agentes que operam na área da proteção de dados pessoais, de forma a assegurar a correta interpretação e aplicação da legislação em vigor.</w:t>
        <w:br/>
        <w:br/>
        <w:t xml:space="preserve">**2. INSTRUÇÕES GERAIS**  </w:t>
        <w:br/>
        <w:t xml:space="preserve">2.1. **Definição de Dados Pessoais**  </w:t>
        <w:br/>
        <w:t>Reforça-se que, para efeitos da aplicação da Lei n.º 123/2023, considera-se dados pessoais qualquer informação relativa a uma pessoa singular identificada ou identificável, incluindo, mas não se limitando a, nome, identificação, localização, dados de contacto, entre outros.</w:t>
        <w:br/>
        <w:br/>
        <w:t xml:space="preserve">2.2. **Consentimento**  </w:t>
        <w:br/>
        <w:t>O tratamento de dados pessoais deve ser realizado com base no consentimento explícito do titular dos dados, salvo exceções previstas na lei. Recomenda-se a utilização de formulários padrão que garantam a clareza e a transparência na obtenção desse consentimento.</w:t>
        <w:br/>
        <w:br/>
        <w:t xml:space="preserve">2.3. **Direitos dos Titulares dos Dados**  </w:t>
        <w:br/>
        <w:t>Os órgãos e agentes devem garantir que os titulares dos dados estão plenamente informados sobre os seus direitos, nomeadamente o direito de acesso, retificação, apagamento e oposição ao tratamento dos seus dados pessoais.</w:t>
        <w:br/>
        <w:br/>
        <w:t xml:space="preserve">**3. ORIENTAÇÕES PRÁTICAS**  </w:t>
        <w:br/>
        <w:t xml:space="preserve">Para facilitar a implementação das disposições legais, são sugeridas as seguintes práticas:  </w:t>
        <w:br/>
        <w:t xml:space="preserve">- **Formação contínua**: Promover sessões de formação periódicas para os colaboradores sobre a legislação de proteção de dados.  </w:t>
        <w:br/>
        <w:t xml:space="preserve">- **Elaboração de manuais**: Criar manuais operacionais que reúnam as melhores práticas e procedimentos a seguir na gestão de dados pessoais.  </w:t>
        <w:br/>
        <w:t>- **Relatórios de conformidade**: Estabelecer a obrigatoriedade de relatórios anuais de conformidade com a lei, a serem submetidos à Direcção-Geral.</w:t>
        <w:br/>
        <w:br/>
        <w:t xml:space="preserve">**4. ESQUEMAS SINTETIZADORES**  </w:t>
        <w:br/>
        <w:t>Anexamos a este documento um esquema visual que sintetiza as principais obrigações decorrentes da Lei n.º 123/2023, com o intuito de facilitar a compreensão e a aplicação das normas.</w:t>
        <w:br/>
        <w:br/>
        <w:t xml:space="preserve">**5. COMUNICAÇÃO**  </w:t>
        <w:br/>
        <w:t>As instruções aqui apresentadas devem ser comunicadas a todos os serviços e agentes envolvidos na aplicação da Lei n.º 123/2023, assegurando que todos tenham acesso a esta informação e possam proceder à sua implementação de forma eficaz.</w:t>
        <w:br/>
        <w:br/>
        <w:t xml:space="preserve">**DESPACHO**  </w:t>
        <w:br/>
        <w:t>Determina-se que as instruções aqui contidas sejam publicadas em formato digital na página oficial da Direcção-Geral da Administração da Justiça e que sejam enviadas, por correio eletrónico, a todos os órgãos e entidades competentes, com a solicitação de confirmação de receção e entendimento das orientações emitidas.</w:t>
        <w:br/>
        <w:br/>
        <w:t xml:space="preserve">**Assinatura**  </w:t>
        <w:br/>
        <w:t xml:space="preserve">[Assinatura digital]  </w:t>
        <w:br/>
        <w:t xml:space="preserve">**Diretor-Geral**  </w:t>
        <w:br/>
        <w:t xml:space="preserve">**[Nome do Diretor]**  </w:t>
        <w:br/>
        <w:t xml:space="preserve">**Direcção-Geral da Administração da Justiça**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