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#943</w:t>
      </w:r>
    </w:p>
    <w:p>
      <w:r>
        <w:t xml:space="preserve">**GOVERNO DA REPÚBLICA**  </w:t>
        <w:br/>
        <w:t xml:space="preserve">**MINISTÉRIO DA JUSTIÇA**  </w:t>
        <w:br/>
        <w:t xml:space="preserve">**DIREÇÃO-GERAL DA ADMINISTRAÇÃO DA JUSTIÇA**  </w:t>
        <w:br/>
        <w:br/>
        <w:t xml:space="preserve">**DE:** Direção-Geral da Administração da Justiça  </w:t>
        <w:br/>
        <w:t xml:space="preserve">**ASSUNTO:** Comunicação de decisão do Tribunal Constitucional  </w:t>
        <w:br/>
        <w:t xml:space="preserve">**DATA:** 15 de Outubro de 2023  </w:t>
        <w:br/>
        <w:br/>
        <w:t>---</w:t>
        <w:br/>
        <w:br/>
        <w:t>**INFORMAÇÃO**</w:t>
        <w:br/>
        <w:br/>
        <w:t>Nos termos do disposto na Lei n.º 28/2004, de 23 de Julho, e em conformidade com o artigo 282.º da Constituição da República, comunica-se que, na sessão plenária realizada no dia 10 de Outubro de 2023, o Tribunal Constitucional proferiu o Acórdão n.º 452/2023, que declara a inconstitucionalidade da norma constante do artigo 5.º do Decreto-Lei n.º 123/2022, de 18 de Junho.</w:t>
        <w:br/>
        <w:br/>
        <w:t>A decisão foi tomada por maioria, com os votos favoráveis de seis juízes e a discordância de dois juízes, conforme se encontra detalhado no referido acórdão.</w:t>
        <w:br/>
        <w:br/>
        <w:t>O Tribunal Constitucional fundamentou a sua decisão com base na violação do princípio da igualdade consagrado no artigo 13.º da Constituição, uma vez que a norma impugnada estabelece distinções injustificadas entre cidadãos em situações análogas no que diz respeito ao acesso a serviços públicos essenciais.</w:t>
        <w:br/>
        <w:br/>
        <w:t>---</w:t>
        <w:br/>
        <w:br/>
        <w:t>**DESPACHO**</w:t>
        <w:br/>
        <w:br/>
        <w:t>Em cumprimento do disposto no artigo 282.º, n.º 3 da Constituição, determina-se o envio da presente comunicação aos seguintes órgãos:</w:t>
        <w:br/>
        <w:br/>
        <w:t>1. Assembleia da República;</w:t>
        <w:br/>
        <w:t>2. Primeiro-Ministro;</w:t>
        <w:br/>
        <w:t>3. Ministério da Administração Interna;</w:t>
        <w:br/>
        <w:t>4. Ministério da Educação;</w:t>
        <w:br/>
        <w:t>5. Direção-Geral da Educação;</w:t>
        <w:br/>
        <w:t>6. Direção-Geral da Saúde.</w:t>
        <w:br/>
        <w:br/>
        <w:t>Além disso, deverá ser providenciada a publicação do Acórdão n.º 452/2023 no Diário da República, de forma a garantir a ampla divulgação da decisão e a sua aplicabilidade imediata a todos os cidadãos e entidades administrativas.</w:t>
        <w:br/>
        <w:br/>
        <w:t>Cumpra-se.</w:t>
        <w:br/>
        <w:br/>
        <w:t>---</w:t>
        <w:br/>
        <w:br/>
        <w:t xml:space="preserve">**ASSINATURA**  </w:t>
        <w:br/>
        <w:t xml:space="preserve">Maria da Luz Silva  </w:t>
        <w:br/>
        <w:t xml:space="preserve">Diretora-Geral  </w:t>
        <w:br/>
        <w:t xml:space="preserve">Direção-Geral da Administração da Justiça  </w:t>
        <w:br/>
        <w:br/>
        <w:t xml:space="preserve">**CARIMBO**  </w:t>
        <w:br/>
        <w:t xml:space="preserve">GOVERNO DA REPÚBLICA  </w:t>
        <w:br/>
        <w:t xml:space="preserve">MINISTÉRIO DA JUSTIÇA  </w:t>
        <w:br/>
        <w:t>DIREÇÃO-GERAL DA ADMINISTRAÇÃO DA JUSTIÇA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