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**DIREÇÃO-GERAL DE ASSUNTOS JURÍDICOS**  </w:t>
        <w:br/>
        <w:br/>
        <w:t xml:space="preserve">**DE:** Direção-Geral de Assuntos Jurídicos  </w:t>
        <w:br/>
        <w:t xml:space="preserve">**PARA:** Senhor Ministro dos Negócios Estrangeiros  </w:t>
        <w:br/>
        <w:t xml:space="preserve">**ASSUNTO:** Aprovação e Comunicação da Convenção sobre a Proteção do Património Cultural Subaquático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da proposta de adesão de Portugal à Convenção sobre a Proteção do Património Cultural Subaquático, apresentada pelo Ministério da Cultura, e tendo em conta os pareceres emitidos pela Direção-Geral de Assuntos Jurídicos e pela Direção-Geral do Património Cultural, informamos o seguinte:  </w:t>
        <w:br/>
        <w:br/>
        <w:t xml:space="preserve">1. **Contexto:**  </w:t>
        <w:br/>
        <w:t xml:space="preserve">   A Convenção sobre a Proteção do Património Cultural Subaquático, adotada em 2001 pela UNESCO, visa a proteção e preservação do património cultural subaquático, promovendo a cooperação internacional em matéria de investigação e salvaguarda de bens culturais submersos.  </w:t>
        <w:br/>
        <w:br/>
        <w:t xml:space="preserve">2. **Parecer do MNE:**  </w:t>
        <w:br/>
        <w:t xml:space="preserve">   A Direção-Geral de Assuntos Jurídicos emitiu parecer favorável à vinculação do Estado português a esta convenção, considerando a sua relevância para a salvaguarda do património cultural nacional e a promoção da cooperação internacional. Este parecer foi enviado ao Senhor Ministro para análise e decisão.  </w:t>
        <w:br/>
        <w:br/>
        <w:t xml:space="preserve">3. **Aprovação Parlamentar:**  </w:t>
        <w:br/>
        <w:t xml:space="preserve">   Após a análise do parecer, será necessária a apreciação e aprovação do projeto de resolução que autoriza a ratificação da convenção por parte da Assembleia da República, conforme previsto na legislação nacional.  </w:t>
        <w:br/>
        <w:br/>
        <w:t xml:space="preserve">4. **Ratificação e Assinatura:**  </w:t>
        <w:br/>
        <w:t xml:space="preserve">   A ratificação da convenção será formalizada através da assinatura do Senhor Presidente da República, após a aprovação parlamentar. O Ministério dos Negócios Estrangeiros ficará responsável pela comunicação da ratificação junto da UNESCO e pelo depósito do respetivo instrumento de ratificação nos termos previstos na convenção.  </w:t>
        <w:br/>
        <w:br/>
        <w:t xml:space="preserve">5. **Publicação:**  </w:t>
        <w:br/>
        <w:t xml:space="preserve">   Após a ratificação, proceder-se-á à publicação da convenção em Diário da República, conforme estipulado na legislação em vigor, garantindo assim a sua entrada em vigor no ordenamento jurídico português.  </w:t>
        <w:br/>
        <w:br/>
        <w:t xml:space="preserve">**DESPACHO**  </w:t>
        <w:br/>
        <w:br/>
        <w:t xml:space="preserve">Face ao exposto, propõe-se ao Senhor Ministro:  </w:t>
        <w:br/>
        <w:br/>
        <w:t xml:space="preserve">- A aprovação do parecer da Direção-Geral de Assuntos Jurídicos, bem como a submissão do projeto de resolução à Assembleia da República, para apreciação e votação.  </w:t>
        <w:br/>
        <w:t xml:space="preserve">- A comunicação da decisão ao Ministério da Cultura e à Direção-Geral do Património Cultural, para os devidos efeitos.  </w:t>
        <w:br/>
        <w:br/>
        <w:t xml:space="preserve">Lisboa, 15 de Outubro de 2023  </w:t>
        <w:br/>
        <w:br/>
        <w:t xml:space="preserve">**[Assinatura]**  </w:t>
        <w:br/>
        <w:t xml:space="preserve">**[Nome do Responsável]**  </w:t>
        <w:br/>
        <w:t xml:space="preserve">**Diretor-Geral de Assuntos Jurídicos**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