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#956</w:t>
      </w:r>
    </w:p>
    <w:p>
      <w:r>
        <w:t>**GOVERNO DA REPÚBLICA**</w:t>
        <w:br/>
        <w:br/>
        <w:t>**MINISTÉRIO DA INFRAESTRUTURA E HABITAÇÃO**</w:t>
        <w:br/>
        <w:br/>
        <w:t>**DIREÇÃO-GERAL DE NORMATIVA E REGULAÇÃO**</w:t>
        <w:br/>
        <w:br/>
        <w:t xml:space="preserve">**DE:** Direção-Geral de Normativa e Regulação  </w:t>
        <w:br/>
        <w:t xml:space="preserve">**PARA:** Direção de Serviços de Planeamento e Implementação  </w:t>
        <w:br/>
        <w:t xml:space="preserve">**ASSUNTO:** Elaboração de Norma Técnica para a Inspeção e Manutenção de Estruturas de Betão Armado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 melhoria contínua da segurança e da qualidade das infraestruturas, a Direção-Geral de Normativa e Regulação determina a elaboração de uma norma técnica destinada à inspeção e manutenção de estruturas de betão armado. Esta norma visa estabelecer procedimentos padronizados que garantam a integridade e durabilidade das referidas estruturas, atendendo às melhores práticas e aos requisitos regulamentares em vigor.</w:t>
        <w:br/>
        <w:br/>
        <w:t>**1. IDENTIFICAÇÃO DA NECESSIDADE:**</w:t>
        <w:br/>
        <w:br/>
        <w:t>A necessidade de uma norma técnica surge na sequência de um aumento significativo de ocorrências relacionadas com a degradação de estruturas de betão, que comprometeram a segurança pública e geraram custos elevados para a manutenção e reabilitação. Assim, a norma proposta deverá contemplar:</w:t>
        <w:br/>
        <w:br/>
        <w:t>- Procedimentos de inspeção periódica;</w:t>
        <w:br/>
        <w:t>- Critérios para avaliação da condição estrutural;</w:t>
        <w:br/>
        <w:t>- Métodos de intervenção e reabilitação;</w:t>
        <w:br/>
        <w:t>- Recomendações sobre a documentação e registo das intervenções.</w:t>
        <w:br/>
        <w:br/>
        <w:t>**2. ELABORAÇÃO DO DOCUMENTO NORMATIVO:**</w:t>
        <w:br/>
        <w:br/>
        <w:t>A elaboração da norma técnica será realizada por uma comissão técnica composta por especialistas na área de engenharia civil, materiais de construção e segurança estrutural. A comissão será responsável por:</w:t>
        <w:br/>
        <w:br/>
        <w:t>- Redigir o documento normativo com base na análise das melhores práticas internacionais;</w:t>
        <w:br/>
        <w:t>- Realizar consultas públicas, a fim de recolher contributos de entidades reguladoras, universidades e associações do setor;</w:t>
        <w:br/>
        <w:t>- Elaborar pareceres técnicos que fundamentem as escolhas metodológicas e normativas.</w:t>
        <w:br/>
        <w:br/>
        <w:t>**3. CONSULTA E ANÁLISE:**</w:t>
        <w:br/>
        <w:br/>
        <w:t>Após a redação inicial, o documento será submetido a consulta pública, onde serão acolhidos comentários e sugestões da sociedade civil e dos profissionais da área. A análise dos contributos recebidos será realizada pela comissão técnica, que procederá à revisão e à elaboração da versão final da norma técnica.</w:t>
        <w:br/>
        <w:br/>
        <w:t>**4. PUBLICAÇÃO:**</w:t>
        <w:br/>
        <w:br/>
        <w:t>Concluídas as etapas de consulta e revisão, o documento final será enviado para publicação no Diário da República, garantindo a sua publicitação e disponibilização a todos os interessados. A norma técnica entrará em vigor no prazo de 30 dias após a publicação.</w:t>
        <w:br/>
        <w:br/>
        <w:t>---</w:t>
        <w:br/>
        <w:br/>
        <w:t>**DESPACHO:**</w:t>
        <w:br/>
        <w:br/>
        <w:t>Face ao exposto, determino a imediata criação da comissão técnica para a elaboração da norma técnica referente à inspeção e manutenção de estruturas de betão armado, devendo a Direção de Serviços de Planeamento e Implementação assegurar a coordenação e acompanhamento dos trabalhos.</w:t>
        <w:br/>
        <w:br/>
        <w:t xml:space="preserve">**ASSINATURA:**  </w:t>
        <w:br/>
        <w:t xml:space="preserve">[Nome do Diretor-Geral]  </w:t>
        <w:br/>
        <w:t xml:space="preserve">Diretor-Geral de Normativa e Regulação  </w:t>
        <w:br/>
        <w:t xml:space="preserve">Ministério da Infraestrutura e Habitação  </w:t>
        <w:br/>
        <w:t xml:space="preserve">**Data:** 15 de outubro de 2023  </w:t>
        <w:br/>
        <w:br/>
        <w:t xml:space="preserve">--- </w:t>
        <w:br/>
        <w:br/>
        <w:t xml:space="preserve">**Cópia para:**  </w:t>
        <w:br/>
        <w:t xml:space="preserve">- Gabinete do Secretário de Estado  </w:t>
        <w:br/>
        <w:t xml:space="preserve">- Direção de Serviços de Planeamento e Implementação  </w:t>
        <w:br/>
        <w:t xml:space="preserve">- Comissão Técnica de Engenharia Civil  </w:t>
        <w:br/>
        <w:t>- Arquivo Geral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