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#972</w:t>
      </w:r>
    </w:p>
    <w:p>
      <w:r>
        <w:t xml:space="preserve">**GOVERNO MUNICIPAL DE EXEMPLO**  </w:t>
        <w:br/>
        <w:t xml:space="preserve">**DEPARTAMENTO DE ADMINISTRAÇÃO**  </w:t>
        <w:br/>
        <w:t xml:space="preserve">**PROCESSO Nº: 2023/0456**  </w:t>
        <w:br/>
        <w:br/>
        <w:t xml:space="preserve">**ASSUNTO:** Aprovação do Regulamento Interno da Biblioteca Municipal  </w:t>
        <w:br/>
        <w:br/>
        <w:t xml:space="preserve">**DATA:** 15 de outubro de 2023  </w:t>
        <w:br/>
        <w:br/>
        <w:t>---</w:t>
        <w:br/>
        <w:br/>
        <w:t>**INFORMAÇÃO:**</w:t>
        <w:br/>
        <w:br/>
        <w:t>Considerando a necessidade de regulamentação das atividades da Biblioteca Municipal de Exemplo, foi elaborado um projeto de Regulamento Interno, o qual visa estabelecer normas e diretrizes para o funcionamento, uso dos espaços e serviços oferecidos pela biblioteca, bem como os direitos e deveres dos usuários.</w:t>
        <w:br/>
        <w:br/>
        <w:t>O projeto foi submetido à apreciação da Comissão de Cultura e Educação em reunião realizada no dia 02 de outubro de 2023. Após análise detalhada, a comissão emitiu parecer favorável à aprovação do regulamento, destacando a importância da norma para a promoção da leitura, cultura e acesso à informação na comunidade.</w:t>
        <w:br/>
        <w:br/>
        <w:t>**DESPACHO:**</w:t>
        <w:br/>
        <w:br/>
        <w:t xml:space="preserve">Diante do exposto, e considerando o parecer da Comissão de Cultura e Educação, determino a aprovação do Regulamento Interno da Biblioteca Municipal de Exemplo. </w:t>
        <w:br/>
        <w:br/>
        <w:t>Fica designado o prazo de 30 (trinta) dias para a publicação do referido regulamento em meio oficial, bem como a divulgação das suas disposições junto aos usuários da biblioteca. A implementação do regulamento será monitorada pelo Departamento de Administração, que deverá apresentar relatório sobre sua aplicação no prazo de 6 (seis) meses a contar da data de publicação.</w:t>
        <w:br/>
        <w:br/>
        <w:t xml:space="preserve">Publique-se e cumpra-se.  </w:t>
        <w:br/>
        <w:br/>
        <w:t xml:space="preserve">**Assinatura:**  </w:t>
        <w:br/>
        <w:t xml:space="preserve">___________________________  </w:t>
        <w:br/>
        <w:t xml:space="preserve">Dr. João da Silva  </w:t>
        <w:br/>
        <w:t xml:space="preserve">Diretor do Departamento de Administração  </w:t>
        <w:br/>
        <w:t>Governo Municipal de Exemplo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