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#977</w:t>
      </w:r>
    </w:p>
    <w:p>
      <w:r>
        <w:t>---</w:t>
        <w:br/>
        <w:br/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**N.º:** 123/2023  </w:t>
        <w:br/>
        <w:t xml:space="preserve">**DATA:** 15 de Outubro de 2023  </w:t>
        <w:br/>
        <w:br/>
        <w:t xml:space="preserve">**DE:** Direção-Geral da Administração da Justiça  </w:t>
        <w:br/>
        <w:t xml:space="preserve">**A:** Todos os Órgãos Competentes  </w:t>
        <w:br/>
        <w:br/>
        <w:t xml:space="preserve">**ASSUNTO:** Comunicação de Decisão do Tribunal Constitucional – Declaração de Inconstitucionalidade  </w:t>
        <w:br/>
        <w:br/>
        <w:t>---</w:t>
        <w:br/>
        <w:br/>
        <w:t>**INFORMAÇÃO:**</w:t>
        <w:br/>
        <w:br/>
        <w:t>No âmbito do processo n.º 456/2022, o Tribunal Constitucional, na sua sessão plenária realizada a 10 de Outubro de 2023, proferiu um acórdão que declara a inconstitucionalidade da norma constante do artigo 12.º da Lei n.º 123/2020, por violação do princípio da igualdade consagrado no artigo 13.º da Constituição da República.</w:t>
        <w:br/>
        <w:br/>
        <w:t>A decisão produz efeitos imediatos e vinculativos, conforme estipulado no artigo 282.º da Constituição da República, devendo ser observada por todos os órgãos da Administração Pública e demais entidades a ela vinculadas.</w:t>
        <w:br/>
        <w:br/>
        <w:t>**DESPACHO:**</w:t>
        <w:br/>
        <w:br/>
        <w:t>1. Determina-se a comunicação imediata desta decisão aos seguintes órgãos e entidades:</w:t>
        <w:br/>
        <w:t xml:space="preserve">   - Assembleia da República</w:t>
        <w:br/>
        <w:t xml:space="preserve">   - Governo da República</w:t>
        <w:br/>
        <w:t xml:space="preserve">   - Tribunal de Contas</w:t>
        <w:br/>
        <w:t xml:space="preserve">   - Direções Regionais da Justiça</w:t>
        <w:br/>
        <w:t xml:space="preserve">   - Outras entidades públicas afetadas pela norma declarada inconstitucional.</w:t>
        <w:br/>
        <w:br/>
        <w:t>2. Solicita-se aos órgãos competentes que procedam à revisão das normas e regulamentos que possam ser afetados por esta declaração, garantindo a conformidade com a decisão do Tribunal Constitucional.</w:t>
        <w:br/>
        <w:br/>
        <w:t>3. A presente declaração será publicada no Diário da República e divulgada através dos meios oficiais de comunicação do Ministério da Justiça, assegurando a ampla divulgação da decisão junto à sociedade civil e às partes interessadas.</w:t>
        <w:br/>
        <w:br/>
        <w:t>4. Esta comunicação entra em vigor na data da sua publicação, devendo os órgãos e entidades notificadas tomar as medidas necessárias para a sua implementação.</w:t>
        <w:br/>
        <w:br/>
        <w:t xml:space="preserve">**ASSINATURA:**  </w:t>
        <w:br/>
        <w:t xml:space="preserve">Diretor-Geral da Administração da Justiça  </w:t>
        <w:br/>
        <w:t>[Assinatura Digital]</w:t>
        <w:br/>
        <w:br/>
        <w:t>---</w:t>
        <w:br/>
        <w:br/>
        <w:t xml:space="preserve">**ANEXOS:**  </w:t>
        <w:br/>
        <w:t xml:space="preserve">1. Cópia do Acórdão n.º 456/2023 do Tribunal Constitucional  </w:t>
        <w:br/>
        <w:t xml:space="preserve">2. Relatório de Impacto da Decisão sobre a Legislação em Vigor  </w:t>
        <w:br/>
        <w:br/>
        <w:t xml:space="preserve">--- </w:t>
        <w:br/>
        <w:br/>
        <w:t xml:space="preserve">**Nota:** Este documento é gerado e enviado eletronicamente, não necessitando de assinatura manuscrita.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