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#980</w:t>
      </w:r>
    </w:p>
    <w:p>
      <w:r>
        <w:t xml:space="preserve">**GOVERNO DA REPÚBLICA**  </w:t>
        <w:br/>
        <w:t xml:space="preserve">**MINISTÉRIO DA JUSTIÇA**  </w:t>
        <w:br/>
        <w:t xml:space="preserve">**DIREÇÃO-GERAL DA ADMINISTRAÇÃO DA JUSTIÇA**  </w:t>
        <w:br/>
        <w:t xml:space="preserve">**DIVISÃO DE COMUNICAÇÃO JURÍDICA**  </w:t>
        <w:br/>
        <w:br/>
        <w:t>---</w:t>
        <w:br/>
        <w:br/>
        <w:t xml:space="preserve">**DE:** Direção-Geral da Administração da Justiça  </w:t>
        <w:br/>
        <w:t xml:space="preserve">**ASSUNTO:** Comunicação de Decisão do Tribunal Constitucional  </w:t>
        <w:br/>
        <w:t xml:space="preserve">**DATA:** 15 de outubro de 2023  </w:t>
        <w:br/>
        <w:br/>
        <w:t>---</w:t>
        <w:br/>
        <w:br/>
        <w:t>**INFORMAÇÃO:**</w:t>
        <w:br/>
        <w:br/>
        <w:t xml:space="preserve">No âmbito da análise da constitucionalidade da Lei n.º 45/2021, de 12 de julho, que estabelece o regime jurídico aplicável à atividade de fiscalização da Administração Pública, foi proferido, em sessão plenária de 10 de outubro de 2023, o Acórdão n.º 123/2023 pelo Tribunal Constitucional. </w:t>
        <w:br/>
        <w:br/>
        <w:t xml:space="preserve">O referido Acórdão declara a inconstitucionalidade da norma constante do artigo 12.º, alínea b), da mencionada lei, por violação do princípio da legalidade consagrado no artigo 2.º da Constituição da República. </w:t>
        <w:br/>
        <w:br/>
        <w:t>A decisão foi proferida de acordo com o disposto no artigo 282.º da Constituição e no artigo 55.º da Lei n.º 28/2004, de 25 de julho, tendo sido deliberada por unanimidade pelos juízes do Tribunal Constitucional. A inconstitucionalidade da norma tem efeito vinculativo e deve ser observada por todos os órgãos da Administração Pública, bem como por quaisquer entidades que atuem no exercício de funções públicas.</w:t>
        <w:br/>
        <w:br/>
        <w:t>---</w:t>
        <w:br/>
        <w:br/>
        <w:t>**DESPACHO:**</w:t>
        <w:br/>
        <w:br/>
        <w:t>Determina-se a comunicação da decisão ora referida aos seguintes órgãos e entidades:</w:t>
        <w:br/>
        <w:br/>
        <w:t>1. **Ministério da Justiça**;</w:t>
        <w:br/>
        <w:t>2. **Ministério da Administração Interna**;</w:t>
        <w:br/>
        <w:t>3. **Ministério da Educação**;</w:t>
        <w:br/>
        <w:t>4. **Ministério da Saúde**;</w:t>
        <w:br/>
        <w:t>5. **Agência Nacional de Administração Pública**;</w:t>
        <w:br/>
        <w:t>6. **Tribunais Administrativos**.</w:t>
        <w:br/>
        <w:br/>
        <w:t>Além disso, a presente decisão deverá ser publicada em Diário da República, de forma a garantir a sua ampla divulgação junto da sociedade civil e dos órgãos de comunicação social.</w:t>
        <w:br/>
        <w:br/>
        <w:t>Este despacho entra em vigor na data da sua assinatura e deverá ser executado com a máxima celeridade, de forma a assegurar a conformidade da norma jurídica com os princípios constitucionais.</w:t>
        <w:br/>
        <w:br/>
        <w:t>---</w:t>
        <w:br/>
        <w:br/>
        <w:t xml:space="preserve">**ASSINATURA:**  </w:t>
        <w:br/>
        <w:t xml:space="preserve">[Nome do Diretor Geral]  </w:t>
        <w:br/>
        <w:t xml:space="preserve">Diretor-Geral da Administração da Justiça  </w:t>
        <w:br/>
        <w:t xml:space="preserve">[Assinatura Digital]  </w:t>
        <w:br/>
        <w:br/>
        <w:t>---</w:t>
        <w:br/>
        <w:br/>
        <w:t xml:space="preserve">**C.C.:**  </w:t>
        <w:br/>
        <w:t xml:space="preserve">- Arquivo  </w:t>
        <w:br/>
        <w:t xml:space="preserve">- Gabinete do Ministro da Justiça  </w:t>
        <w:br/>
        <w:t xml:space="preserve">- Tribunal Constitucional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