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#989</w:t>
      </w:r>
    </w:p>
    <w:p>
      <w:r>
        <w:t xml:space="preserve">**DE: Tribunal da Relação de Lisboa**  </w:t>
        <w:br/>
        <w:t xml:space="preserve">**ASSUNTO: Acórdão de Uniformização de Jurisprudência**  </w:t>
        <w:br/>
        <w:t xml:space="preserve">**DATA: 20 de Outubro de 2023**  </w:t>
        <w:br/>
        <w:br/>
        <w:t>**INFORMAÇÃO:**</w:t>
        <w:br/>
        <w:br/>
        <w:t>Processo n.º 1234/2023 – I</w:t>
        <w:br/>
        <w:br/>
        <w:t>No âmbito do processo acima referido, foi apresentada uma solicitação para a emissão de uma decisão de uniformização de jurisprudência, tendo em vista a divergência de entendimentos entre diferentes tribunais sobre a aplicação do artigo 123 do Código Civil, relativo à responsabilidade civil por danos causados por animais.</w:t>
        <w:br/>
        <w:br/>
        <w:t>**1. CONTEXTO:**</w:t>
        <w:br/>
        <w:br/>
        <w:t>Foram identificadas, nos últimos meses, decisões proferidas por tribunais de primeira instância que apresentavam interpretações divergentes acerca da responsabilidade do proprietário de um animal em caso de ataque a terceiros. Em particular, destacam-se os seguintes acórdãos:</w:t>
        <w:br/>
        <w:br/>
        <w:t>- Acórdão do Tribunal de 1.ª Instância de Lisboa, de 15 de Junho de 2023, que considera o proprietário responsável independentemente da culpa.</w:t>
        <w:br/>
        <w:t>- Acórdão do Tribunal de 1.ª Instância de Porto, de 10 de Julho de 2023, que estabelece que a responsabilidade só se verifica em caso de culpa demonstrada.</w:t>
        <w:br/>
        <w:br/>
        <w:t>**2. ANÁLISE:**</w:t>
        <w:br/>
        <w:br/>
        <w:t>Tendo em conta a relevância da questão e o impacto que as decisões judiciais têm nos direitos dos cidadãos, foi realizada uma conferência para admissibilidade do pedido, na qual se analisaram as alegações apresentadas por ambas as partes. A defesa do pedido de uniformização sustenta que a falta de uma interpretação uniforme pode levar a injustiças e insegurança jurídica.</w:t>
        <w:br/>
        <w:br/>
        <w:t>**3. JULGAMENTO:**</w:t>
        <w:br/>
        <w:br/>
        <w:t>Após a análise detalhada dos fundamentos apresentados e levando em consideração a jurisprudência existente, o tribunal entende que a questão da responsabilidade civil por danos causados por animais deve ser abordada com base na presunção de culpa do proprietário, exceto nas situações em que este possa demonstrar a inexistência de culpa.</w:t>
        <w:br/>
        <w:br/>
        <w:t>**4. DECISÃO:**</w:t>
        <w:br/>
        <w:br/>
        <w:t>Por unanimidade, o Tribunal da Relação de Lisboa decide uniformizar a jurisprudência no sentido de considerar que:</w:t>
        <w:br/>
        <w:br/>
        <w:t>- O proprietário de um animal é, em regra, responsável pelos danos causados pelo seu animal, salvo prova em contrário de que agiu com a diligência necessária para evitar o dano.</w:t>
        <w:br/>
        <w:br/>
        <w:t>**5. PUBLICAÇÃO:**</w:t>
        <w:br/>
        <w:br/>
        <w:t>A presente decisão será publicada na página oficial do Tribunal da Relação de Lisboa e divulgada nos meios adequados, assegurando assim a sua ampla comunicação às partes interessadas e ao público em geral.</w:t>
        <w:br/>
        <w:br/>
        <w:t>**DESPACHO:**</w:t>
        <w:br/>
        <w:br/>
        <w:t xml:space="preserve">Registe-se e publique-se.  </w:t>
        <w:br/>
        <w:t>Lisboa, 20 de Outubro de 2023.</w:t>
        <w:br/>
        <w:br/>
        <w:t xml:space="preserve">**O Relator,**  </w:t>
        <w:br/>
        <w:t xml:space="preserve">Dr. João Silva  </w:t>
        <w:br/>
        <w:t xml:space="preserve">**O Presidente,**  </w:t>
        <w:br/>
        <w:t>Dr. Ana Ferreira</w:t>
        <w:br/>
        <w:br/>
        <w:t>*(Nota: Este documento é uma simulação e não reflete casos ou decisões reais.)*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