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#999</w:t>
      </w:r>
    </w:p>
    <w:p>
      <w:r>
        <w:t xml:space="preserve">**GOVERNO DA REPÚBLICA**  </w:t>
        <w:br/>
        <w:t xml:space="preserve">**MINISTÉRIO DA JUSTIÇA**  </w:t>
        <w:br/>
        <w:t xml:space="preserve">**DIRECÇÃO-GERAL DOS ASSUNTOS LEGAIS**  </w:t>
        <w:br/>
        <w:br/>
        <w:t xml:space="preserve">**DE:** Direcção-Geral dos Assuntos Legais  </w:t>
        <w:br/>
        <w:t xml:space="preserve">**PARA:** Tribunal Constitucional  </w:t>
        <w:br/>
        <w:t xml:space="preserve">**ASSUNTO:** Comunicação da Decisão do Acórdão n.º 123/2023  </w:t>
        <w:br/>
        <w:t xml:space="preserve">**DATA:** 15 de Outubro de 2023  </w:t>
        <w:br/>
        <w:br/>
        <w:t>---</w:t>
        <w:br/>
        <w:br/>
        <w:t>**INFORMAÇÃO**</w:t>
        <w:br/>
        <w:br/>
        <w:t>Nos termos do artigo 282.º da Constituição da República Portuguesa e da Lei n.º 28/2004, de 15 de Julho, informa-se que o Tribunal Constitucional, no exercício das suas competências, proferiu, em 12 de Outubro de 2023, o Acórdão n.º 123/2023, que declara a inconstitucionalidade da norma constante do artigo 5.º do Decreto-Lei n.º 45/2022, de 10 de Março.</w:t>
        <w:br/>
        <w:br/>
        <w:t>A decisão do Tribunal Constitucional estabelece que a referida norma contraria os princípios fundamentais consagrados na Constituição, nomeadamente o direito à igualdade e à não discriminação, conforme previsto nos artigos 13.º e 47.º. Assim, a norma em questão deixa de ter força vinculativa, devendo ser imediatamente considerada nula e sem efeito.</w:t>
        <w:br/>
        <w:br/>
        <w:t>**DESPACHO**</w:t>
        <w:br/>
        <w:br/>
        <w:t>1. Comunicar esta decisão aos seguintes órgãos e entidades:</w:t>
        <w:br/>
        <w:t xml:space="preserve">   - Assembleia da República</w:t>
        <w:br/>
        <w:t xml:space="preserve">   - Primeiro-Ministro</w:t>
        <w:br/>
        <w:t xml:space="preserve">   - Ministérios da Educação e da Saúde</w:t>
        <w:br/>
        <w:t xml:space="preserve">   - Direcção-Geral da Administração Pública</w:t>
        <w:br/>
        <w:t xml:space="preserve">   - Autoridade Nacional de Comunicações</w:t>
        <w:br/>
        <w:br/>
        <w:t>2. Proceder à publicação do Acórdão n.º 123/2023 no Diário da República, na sua edição de 20 de Outubro de 2023, a fim de assegurar a ampla divulgação da decisão e garantir a sua eficácia junto de todos os cidadãos e entidades públicas e privadas.</w:t>
        <w:br/>
        <w:br/>
        <w:t>3. Remeter um exemplar do presente documento à Imprensa Nacional – Casa da Moeda para os devidos efeitos de publicação.</w:t>
        <w:br/>
        <w:br/>
        <w:t>4. A presente comunicação entra em vigor na data da sua publicação, devendo ser cumprida por todos os organismos e entidades a que se refere a norma declarada inconstitucional.</w:t>
        <w:br/>
        <w:br/>
        <w:t xml:space="preserve">**Lisboa, 15 de Outubro de 2023**  </w:t>
        <w:br/>
        <w:br/>
        <w:t xml:space="preserve">**Assinatura**  </w:t>
        <w:br/>
        <w:t xml:space="preserve">**[Nome do Director-Geral]**  </w:t>
        <w:br/>
        <w:t xml:space="preserve">**Director-Geral dos Assuntos Legais**  </w:t>
        <w:br/>
        <w:t xml:space="preserve">**Ministério da Justiça**  </w:t>
        <w:br/>
        <w:t xml:space="preserve">**Carimbo da Entidade**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