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/>
      </w:pPr>
      <w:r w:rsidDel="00000000" w:rsidR="00000000" w:rsidRPr="00000000">
        <w:rPr>
          <w:rtl w:val="0"/>
        </w:rPr>
        <w:t xml:space="preserve">Escribir un programa que declare un string llamado MENSAJE, almacenado en la memoria de datos, cuente la cantidad de veces que la letra ‘a’ (minúscula) aparece en MENSAJE y lo almacene en la variable CANT. Por ejemplo, si MENSAJE contiene “Hola, Buenas Tardes”, entonces CANT debe valer 3.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MENSAJE db "tengo 5 aaaaa"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fin db 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cant db 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db "a"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mov bx, offset mensaje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mov cx,0h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checkeo: cmp byte ptr [bx],61h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jz es_a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inc bx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cmp bx, offset fin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jnz checkeo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jmp endd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es_a: inc cl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inc bx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cmp bx, offset fin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jnz checkeo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mov cant, cl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endd: hlt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end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es_419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color w:val="4a86e8"/>
      <w:sz w:val="36"/>
      <w:szCs w:val="36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