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140F" w14:textId="77777777" w:rsidR="00336585" w:rsidRPr="00336585" w:rsidRDefault="00336585" w:rsidP="00336585">
      <w:pPr>
        <w:shd w:val="clear" w:color="auto" w:fill="D9EDF7"/>
        <w:spacing w:before="150" w:line="240" w:lineRule="auto"/>
        <w:jc w:val="center"/>
        <w:outlineLvl w:val="0"/>
        <w:rPr>
          <w:rFonts w:ascii="Helvetica" w:eastAsia="Times New Roman" w:hAnsi="Helvetica" w:cs="Helvetica"/>
          <w:color w:val="3A87AD"/>
          <w:kern w:val="36"/>
          <w:sz w:val="27"/>
          <w:szCs w:val="27"/>
          <w:lang w:eastAsia="es-UY"/>
        </w:rPr>
      </w:pPr>
      <w:r w:rsidRPr="00336585">
        <w:rPr>
          <w:rFonts w:ascii="Helvetica" w:eastAsia="Times New Roman" w:hAnsi="Helvetica" w:cs="Helvetica"/>
          <w:color w:val="3A87AD"/>
          <w:kern w:val="36"/>
          <w:sz w:val="27"/>
          <w:szCs w:val="27"/>
          <w:lang w:eastAsia="es-UY"/>
        </w:rPr>
        <w:br/>
        <w:t>Ley </w:t>
      </w:r>
      <w:proofErr w:type="spellStart"/>
      <w:r w:rsidRPr="00336585">
        <w:rPr>
          <w:rFonts w:ascii="Helvetica" w:eastAsia="Times New Roman" w:hAnsi="Helvetica" w:cs="Helvetica"/>
          <w:b/>
          <w:bCs/>
          <w:color w:val="3A87AD"/>
          <w:kern w:val="36"/>
          <w:sz w:val="27"/>
          <w:szCs w:val="27"/>
          <w:lang w:eastAsia="es-UY"/>
        </w:rPr>
        <w:t>N°</w:t>
      </w:r>
      <w:proofErr w:type="spellEnd"/>
      <w:r w:rsidRPr="00336585">
        <w:rPr>
          <w:rFonts w:ascii="Helvetica" w:eastAsia="Times New Roman" w:hAnsi="Helvetica" w:cs="Helvetica"/>
          <w:b/>
          <w:bCs/>
          <w:color w:val="3A87AD"/>
          <w:kern w:val="36"/>
          <w:sz w:val="27"/>
          <w:szCs w:val="27"/>
          <w:lang w:eastAsia="es-UY"/>
        </w:rPr>
        <w:t xml:space="preserve"> 15996</w:t>
      </w:r>
    </w:p>
    <w:p w14:paraId="22714DDD" w14:textId="00764A99" w:rsidR="00336585" w:rsidRPr="00336585" w:rsidRDefault="00336585" w:rsidP="00336585">
      <w:pPr>
        <w:shd w:val="clear" w:color="auto" w:fill="FFFFFF"/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24"/>
          <w:szCs w:val="24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24"/>
          <w:szCs w:val="24"/>
          <w:lang w:eastAsia="es-UY"/>
        </w:rPr>
        <w:t>LEY DE HORAS EXTRAS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br/>
      </w:r>
    </w:p>
    <w:p w14:paraId="6FC4DCE4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t>Promulgación: 17/11/1988</w:t>
      </w:r>
    </w:p>
    <w:p w14:paraId="6E5B0D36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t>Publicación: 25/11/1988</w:t>
      </w:r>
    </w:p>
    <w:p w14:paraId="57994B29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Reglamentada por:</w:t>
      </w: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Decreto </w:t>
      </w:r>
      <w:hyperlink r:id="rId5" w:history="1">
        <w:proofErr w:type="spellStart"/>
        <w:r w:rsidRPr="00336585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Nº</w:t>
        </w:r>
        <w:proofErr w:type="spellEnd"/>
        <w:r w:rsidRPr="00336585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 xml:space="preserve"> 550/989</w:t>
        </w:r>
      </w:hyperlink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de 22/11/1989.</w:t>
      </w:r>
    </w:p>
    <w:p w14:paraId="2EE54F0B" w14:textId="77777777" w:rsidR="00336585" w:rsidRPr="00336585" w:rsidRDefault="00D53720" w:rsidP="00336585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6" w:history="1">
        <w:r w:rsidR="00336585" w:rsidRPr="00336585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 toda la norma</w:t>
        </w:r>
      </w:hyperlink>
    </w:p>
    <w:bookmarkStart w:id="0" w:name="1"/>
    <w:bookmarkEnd w:id="0"/>
    <w:p w14:paraId="2E162919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"https://www.impo.com.uy/bases/leyes/15996-1988/1"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23335E3A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En las actividades y categorías laborales cuya jornada diaria esté</w:t>
      </w:r>
    </w:p>
    <w:p w14:paraId="04B2AF1D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limitada, legal o convencionalmente, en su duración, se consideran horas</w:t>
      </w:r>
    </w:p>
    <w:p w14:paraId="55F4AF6B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extras las que excedan el límite horario aplicable a cada trabajador.</w:t>
      </w:r>
    </w:p>
    <w:p w14:paraId="26FA8B71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Las horas a que se refiere el párrafo anterior se pagarán con el 100%</w:t>
      </w:r>
    </w:p>
    <w:p w14:paraId="74C43348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(cien por ciento) de recargo sobre el salario que corresponda en unidades</w:t>
      </w:r>
    </w:p>
    <w:p w14:paraId="25F04B11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hora cuando se realicen en días hábiles.</w:t>
      </w:r>
    </w:p>
    <w:p w14:paraId="0E7C9309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Si la prolongación de la jornada de trabajo tiene lugar en días en que,</w:t>
      </w:r>
    </w:p>
    <w:p w14:paraId="5C217B29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 acuerdo a la ley, convención o costumbre, por ser feriados o gozarse de</w:t>
      </w:r>
    </w:p>
    <w:p w14:paraId="0B7ECB42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descanso semanal, no se trabaje, el recargo será de un 150% (ciento</w:t>
      </w:r>
    </w:p>
    <w:p w14:paraId="1A486404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cincuenta por ciento). Esta tasa se aplicará sobre el valor hora de los</w:t>
      </w:r>
    </w:p>
    <w:p w14:paraId="6631BA67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días laborales.</w:t>
      </w:r>
    </w:p>
    <w:p w14:paraId="1CC8F02A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No se consideran horas extras, en ninguna actividad, las que exceden la</w:t>
      </w:r>
    </w:p>
    <w:p w14:paraId="63B24091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duración de la jornada diaria en las situaciones previstas en el artículo</w:t>
      </w:r>
    </w:p>
    <w:p w14:paraId="4863D530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2 literales b) y c) del Convenio Internacional del Trabajo sobre el</w:t>
      </w:r>
    </w:p>
    <w:p w14:paraId="38F67C76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Horario en la Industria (1919).  (*)</w:t>
      </w:r>
    </w:p>
    <w:p w14:paraId="63119587" w14:textId="77777777" w:rsidR="00336585" w:rsidRPr="00336585" w:rsidRDefault="00D53720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pict w14:anchorId="576C6C5D">
          <v:rect id="_x0000_i1025" style="width:0;height:0" o:hralign="center" o:hrstd="t" o:hr="t" fillcolor="#a0a0a0" stroked="f"/>
        </w:pict>
      </w:r>
    </w:p>
    <w:p w14:paraId="34A25401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(*)</w:t>
      </w:r>
      <w:r w:rsidRPr="00336585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Notas:</w:t>
      </w:r>
    </w:p>
    <w:p w14:paraId="527D7CC9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Ver en esta norma, artículo:</w:t>
      </w: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</w:t>
      </w:r>
      <w:hyperlink r:id="rId7" w:history="1">
        <w:r w:rsidRPr="00336585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2</w:t>
        </w:r>
      </w:hyperlink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3328FD5E" w14:textId="77777777" w:rsidR="00336585" w:rsidRPr="00336585" w:rsidRDefault="00D53720" w:rsidP="00336585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8" w:history="1">
        <w:r w:rsidR="00336585" w:rsidRPr="00336585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1" w:name="2"/>
    <w:bookmarkEnd w:id="1"/>
    <w:p w14:paraId="468CCA87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"https://www.impo.com.uy/bases/leyes/15996-1988/2"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2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22426C8B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A los efectos de lo previsto en el artículo anterior, las fracciones</w:t>
      </w:r>
    </w:p>
    <w:p w14:paraId="694ADF9E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menores de treinta minutos se computarán como media hora y las mayores</w:t>
      </w:r>
    </w:p>
    <w:p w14:paraId="7871A968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como una hora.</w:t>
      </w:r>
    </w:p>
    <w:bookmarkStart w:id="2" w:name="3"/>
    <w:bookmarkEnd w:id="2"/>
    <w:p w14:paraId="3B7CE208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"https://www.impo.com.uy/bases/leyes/15996-1988/3"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3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40F8326F" w14:textId="01DB81F7" w:rsidR="00336585" w:rsidRPr="00336585" w:rsidRDefault="00336585" w:rsidP="00470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Las sumas pagadas por concepto de horas extras tienen carácter salarial</w:t>
      </w:r>
      <w:r w:rsidR="004707D1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(normas protección del salario, base de cálculo de aguinaldo licencia salario vacacional despido, materia gravada).</w:t>
      </w:r>
    </w:p>
    <w:bookmarkStart w:id="3" w:name="4"/>
    <w:bookmarkEnd w:id="3"/>
    <w:p w14:paraId="0CB3AAE3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"https://www.impo.com.uy/bases/leyes/15996-1988/4"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4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63AF82C8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A los fines de determinar el jornal de licencia y el salario vacacional</w:t>
      </w:r>
    </w:p>
    <w:p w14:paraId="5F3914F6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>se computarán las horas extras realizadas en el año civil o fracción que</w:t>
      </w:r>
    </w:p>
    <w:p w14:paraId="2BE60732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genera el derecho a licencia.</w:t>
      </w:r>
    </w:p>
    <w:p w14:paraId="32AEDD3C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A tales efectos se tendrá en cuenta el promedio de horas extras</w:t>
      </w:r>
    </w:p>
    <w:p w14:paraId="796A18FD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laboradas en dicho año civil o fracción y se aplicará la tarifa de hora</w:t>
      </w:r>
    </w:p>
    <w:p w14:paraId="764DAC13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extra vigente para los días trabajados, a la fecha de pago del jornal de</w:t>
      </w:r>
    </w:p>
    <w:p w14:paraId="1CCF5302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licencia o salario vacacional.</w:t>
      </w:r>
    </w:p>
    <w:bookmarkStart w:id="4" w:name="5"/>
    <w:bookmarkEnd w:id="4"/>
    <w:p w14:paraId="58B0422D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"https://www.impo.com.uy/bases/leyes/15996-1988/5"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5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7CE79900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El máximo semanal de horas extras que podrá disponer un empleador,</w:t>
      </w:r>
    </w:p>
    <w:p w14:paraId="5BE5A157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previo consentimiento del trabajo en cuestión, es de ocho.</w:t>
      </w:r>
    </w:p>
    <w:p w14:paraId="136B68B1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El Poder Ejecutivo reglamentará los procedimientos y medios de control</w:t>
      </w:r>
    </w:p>
    <w:p w14:paraId="1A9BF8DD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correspondientes. (*)</w:t>
      </w:r>
    </w:p>
    <w:p w14:paraId="6CA6F05A" w14:textId="77777777" w:rsidR="00336585" w:rsidRPr="00336585" w:rsidRDefault="00D53720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pict w14:anchorId="75861D39">
          <v:rect id="_x0000_i1026" style="width:0;height:0" o:hralign="center" o:hrstd="t" o:hr="t" fillcolor="#a0a0a0" stroked="f"/>
        </w:pict>
      </w:r>
    </w:p>
    <w:p w14:paraId="5B5FA421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(*)</w:t>
      </w:r>
      <w:r w:rsidRPr="00336585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Notas:</w:t>
      </w:r>
    </w:p>
    <w:p w14:paraId="7F287481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b/>
          <w:bCs/>
          <w:color w:val="333333"/>
          <w:sz w:val="18"/>
          <w:szCs w:val="18"/>
          <w:lang w:eastAsia="es-UY"/>
        </w:rPr>
        <w:t>Ver en esta norma, artículo:</w:t>
      </w: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</w:t>
      </w:r>
      <w:hyperlink r:id="rId9" w:history="1">
        <w:r w:rsidRPr="00336585">
          <w:rPr>
            <w:rFonts w:ascii="Courier New" w:eastAsia="Times New Roman" w:hAnsi="Courier New" w:cs="Courier New"/>
            <w:color w:val="ACAAAD"/>
            <w:sz w:val="18"/>
            <w:szCs w:val="18"/>
            <w:lang w:eastAsia="es-UY"/>
          </w:rPr>
          <w:t>6</w:t>
        </w:r>
      </w:hyperlink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.</w:t>
      </w:r>
    </w:p>
    <w:p w14:paraId="4E0A75FE" w14:textId="77777777" w:rsidR="00336585" w:rsidRPr="00336585" w:rsidRDefault="00D53720" w:rsidP="00336585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10" w:history="1">
        <w:r w:rsidR="00336585" w:rsidRPr="00336585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5" w:name="6"/>
    <w:bookmarkEnd w:id="5"/>
    <w:p w14:paraId="025D784E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"https://www.impo.com.uy/bases/leyes/15996-1988/6"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6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56DCF272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El máximo semanal de horas extras previsto en el artículo 5º podrá ser</w:t>
      </w:r>
    </w:p>
    <w:p w14:paraId="754DDC66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sobrepasado en los siguientes casos:</w:t>
      </w:r>
    </w:p>
    <w:p w14:paraId="470D35DB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</w:p>
    <w:p w14:paraId="60D7F5B0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A) El Ministerio de Trabajo y Seguridad Social, previa consulta con el</w:t>
      </w:r>
    </w:p>
    <w:p w14:paraId="57F946B0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empleador y los trabajadores o con las asociaciones patronales y obreras,</w:t>
      </w:r>
    </w:p>
    <w:p w14:paraId="1119C168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allí donde existan podrá con razones fundadas dictar reglamentos</w:t>
      </w:r>
    </w:p>
    <w:p w14:paraId="241D62BD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especiales autorizando para cada industria, comercio, oficina, actividad,</w:t>
      </w:r>
    </w:p>
    <w:p w14:paraId="1661A9BB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profesión o empresa, excepciones de carácter transitorio;</w:t>
      </w:r>
    </w:p>
    <w:p w14:paraId="3BB91FD5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</w:p>
    <w:p w14:paraId="4807115C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B) El Poder Ejecutivo, previo el procedimiento indicado en el literal</w:t>
      </w:r>
    </w:p>
    <w:p w14:paraId="5231CE3D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anterior, podrá establecer excepciones de carácter permanente.</w:t>
      </w:r>
    </w:p>
    <w:p w14:paraId="5BC1CF81" w14:textId="77777777" w:rsidR="00336585" w:rsidRPr="00336585" w:rsidRDefault="00D53720" w:rsidP="00336585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hyperlink r:id="rId11" w:history="1">
        <w:r w:rsidR="00336585" w:rsidRPr="00336585">
          <w:rPr>
            <w:rFonts w:ascii="Helvetica" w:eastAsia="Times New Roman" w:hAnsi="Helvetica" w:cs="Helvetica"/>
            <w:color w:val="DDDDDD"/>
            <w:sz w:val="18"/>
            <w:szCs w:val="18"/>
            <w:bdr w:val="single" w:sz="6" w:space="1" w:color="136D8D" w:frame="1"/>
            <w:shd w:val="clear" w:color="auto" w:fill="136D8D"/>
            <w:lang w:eastAsia="es-UY"/>
          </w:rPr>
          <w:t>Referencias al artículo</w:t>
        </w:r>
      </w:hyperlink>
    </w:p>
    <w:bookmarkStart w:id="6" w:name="7"/>
    <w:bookmarkEnd w:id="6"/>
    <w:p w14:paraId="35425D6F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"https://www.impo.com.uy/bases/leyes/15996-1988/7"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7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4E072F6F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Las disposiciones de la presente ley se aplicarán sin perjuicio de la</w:t>
      </w:r>
    </w:p>
    <w:p w14:paraId="04B39370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validez de los regímenes específicos en materia de remuneración de horas</w:t>
      </w:r>
    </w:p>
    <w:p w14:paraId="47858A9E" w14:textId="2D4AFF07" w:rsidR="00336585" w:rsidRPr="00336585" w:rsidRDefault="00336585" w:rsidP="00D537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extras más favorables</w:t>
      </w:r>
      <w:r w:rsidR="00D53720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, como recargos más beneficiosos,</w:t>
      </w: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para el trabajador establecidos por ley, laudo o</w:t>
      </w:r>
      <w:r w:rsidR="00D53720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</w:t>
      </w: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convenio colectivo</w:t>
      </w:r>
      <w:r w:rsidR="00D53720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.</w:t>
      </w:r>
    </w:p>
    <w:bookmarkStart w:id="7" w:name="8"/>
    <w:bookmarkEnd w:id="7"/>
    <w:p w14:paraId="6923B320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"https://www.impo.com.uy/bases/leyes/15996-1988/8"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8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199BC9C3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Las infracciones a la presente ley se sancionarán de acuerdo a lo</w:t>
      </w:r>
    </w:p>
    <w:p w14:paraId="08981057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prescrito en el artículo 289 de la ley 15.903, del 10 de noviembre de</w:t>
      </w:r>
    </w:p>
    <w:p w14:paraId="4CB78C8E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1987.</w:t>
      </w:r>
    </w:p>
    <w:bookmarkStart w:id="8" w:name="9"/>
    <w:bookmarkEnd w:id="8"/>
    <w:p w14:paraId="38981135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"https://www.impo.com.uy/bases/leyes/15996-1988/9"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9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3CD8EE21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lastRenderedPageBreak/>
        <w:t xml:space="preserve">     La presente ley es de orden público.</w:t>
      </w:r>
    </w:p>
    <w:bookmarkStart w:id="9" w:name="10"/>
    <w:bookmarkEnd w:id="9"/>
    <w:p w14:paraId="69343397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"https://www.impo.com.uy/bases/leyes/15996-1988/10"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10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12AC0C43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Esta ley no se aplicará a los funcionarios públicos.</w:t>
      </w:r>
    </w:p>
    <w:bookmarkStart w:id="10" w:name="11"/>
    <w:bookmarkEnd w:id="10"/>
    <w:p w14:paraId="6D5F2919" w14:textId="77777777" w:rsidR="00336585" w:rsidRPr="00336585" w:rsidRDefault="00336585" w:rsidP="00336585">
      <w:pPr>
        <w:shd w:val="clear" w:color="auto" w:fill="FFFFFF"/>
        <w:spacing w:before="150" w:after="150" w:line="240" w:lineRule="auto"/>
        <w:outlineLvl w:val="3"/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begin"/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instrText xml:space="preserve"> HYPERLINK "https://www.impo.com.uy/bases/leyes/15996-1988/11" </w:instrTex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separate"/>
      </w:r>
      <w:r w:rsidRPr="00336585">
        <w:rPr>
          <w:rFonts w:ascii="Helvetica" w:eastAsia="Times New Roman" w:hAnsi="Helvetica" w:cs="Helvetica"/>
          <w:color w:val="ACAAAD"/>
          <w:sz w:val="18"/>
          <w:szCs w:val="18"/>
          <w:lang w:eastAsia="es-UY"/>
        </w:rPr>
        <w:t>Artículo 11</w:t>
      </w: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fldChar w:fldCharType="end"/>
      </w:r>
    </w:p>
    <w:p w14:paraId="76B89E36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 xml:space="preserve">     Comuníquese, etc.</w:t>
      </w:r>
    </w:p>
    <w:p w14:paraId="239A80D2" w14:textId="77777777" w:rsidR="00336585" w:rsidRPr="00336585" w:rsidRDefault="00336585" w:rsidP="0033658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UY"/>
        </w:rPr>
      </w:pPr>
      <w:r w:rsidRPr="00336585">
        <w:rPr>
          <w:rFonts w:ascii="Helvetica" w:eastAsia="Times New Roman" w:hAnsi="Helvetica" w:cs="Helvetica"/>
          <w:color w:val="333333"/>
          <w:sz w:val="18"/>
          <w:szCs w:val="18"/>
          <w:lang w:eastAsia="es-UY"/>
        </w:rPr>
        <w:br/>
      </w:r>
    </w:p>
    <w:p w14:paraId="794CADDC" w14:textId="77777777" w:rsidR="00336585" w:rsidRPr="00336585" w:rsidRDefault="00336585" w:rsidP="00336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</w:pPr>
      <w:r w:rsidRPr="00336585">
        <w:rPr>
          <w:rFonts w:ascii="Courier New" w:eastAsia="Times New Roman" w:hAnsi="Courier New" w:cs="Courier New"/>
          <w:color w:val="333333"/>
          <w:sz w:val="18"/>
          <w:szCs w:val="18"/>
          <w:lang w:eastAsia="es-UY"/>
        </w:rPr>
        <w:t>SANGUINETTI - HUGO FERNANDEZ FAINGOLD</w:t>
      </w:r>
    </w:p>
    <w:p w14:paraId="501C2C97" w14:textId="77777777" w:rsidR="006D1667" w:rsidRDefault="006D1667"/>
    <w:sectPr w:rsidR="006D1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43599"/>
    <w:multiLevelType w:val="multilevel"/>
    <w:tmpl w:val="F146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D7"/>
    <w:rsid w:val="00262CFE"/>
    <w:rsid w:val="00336585"/>
    <w:rsid w:val="004707D1"/>
    <w:rsid w:val="006D1667"/>
    <w:rsid w:val="00B91AD1"/>
    <w:rsid w:val="00D53720"/>
    <w:rsid w:val="00E6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6252"/>
  <w15:chartTrackingRefBased/>
  <w15:docId w15:val="{F93F399F-6EA2-4E2F-ADCC-4DA8B723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19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628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048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503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4106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557">
          <w:marLeft w:val="0"/>
          <w:marRight w:val="13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o.com.uy/bases/leyes/15996-1988/1?verreferencias=articul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mpo.com.uy/bases/leyes/15996-1988/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po.com.uy/bases/leyes/15996-1988?verreferencias=norma" TargetMode="External"/><Relationship Id="rId11" Type="http://schemas.openxmlformats.org/officeDocument/2006/relationships/hyperlink" Target="https://www.impo.com.uy/bases/leyes/15996-1988/6?verreferencias=articulo" TargetMode="External"/><Relationship Id="rId5" Type="http://schemas.openxmlformats.org/officeDocument/2006/relationships/hyperlink" Target="https://www.impo.com.uy/bases/decretos/550-1989" TargetMode="External"/><Relationship Id="rId10" Type="http://schemas.openxmlformats.org/officeDocument/2006/relationships/hyperlink" Target="https://www.impo.com.uy/bases/leyes/15996-1988/5?verreferencias=articu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po.com.uy/bases/leyes/15996-1988/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743</Words>
  <Characters>4090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Caliaba</dc:creator>
  <cp:keywords/>
  <dc:description/>
  <cp:lastModifiedBy>Francisco Caliaba</cp:lastModifiedBy>
  <cp:revision>3</cp:revision>
  <dcterms:created xsi:type="dcterms:W3CDTF">2020-07-28T21:01:00Z</dcterms:created>
  <dcterms:modified xsi:type="dcterms:W3CDTF">2020-07-28T21:37:00Z</dcterms:modified>
</cp:coreProperties>
</file>