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77" w:rsidRPr="00A878E0" w:rsidRDefault="00BF2377" w:rsidP="00664426">
      <w:pPr>
        <w:spacing w:before="240"/>
        <w:jc w:val="center"/>
        <w:rPr>
          <w:rFonts w:ascii="Arial" w:hAnsi="Arial" w:cs="Arial"/>
          <w:b/>
          <w:sz w:val="32"/>
          <w:szCs w:val="32"/>
        </w:rPr>
      </w:pPr>
      <w:r w:rsidRPr="00A878E0">
        <w:rPr>
          <w:rFonts w:ascii="Arial" w:hAnsi="Arial" w:cs="Arial"/>
          <w:b/>
          <w:sz w:val="32"/>
          <w:szCs w:val="32"/>
        </w:rPr>
        <w:t>LA INCOMPARECENCIA EN LA AUDIENCIA PRELIMINAR</w:t>
      </w:r>
      <w:bookmarkStart w:id="0" w:name="_GoBack"/>
      <w:bookmarkEnd w:id="0"/>
    </w:p>
    <w:p w:rsidR="00A878E0" w:rsidRDefault="00A878E0" w:rsidP="00664426">
      <w:pPr>
        <w:tabs>
          <w:tab w:val="left" w:pos="4035"/>
          <w:tab w:val="center" w:pos="4535"/>
        </w:tabs>
        <w:spacing w:before="240" w:line="360" w:lineRule="auto"/>
        <w:rPr>
          <w:rFonts w:ascii="Arial" w:hAnsi="Arial" w:cs="Arial"/>
          <w:sz w:val="24"/>
          <w:szCs w:val="24"/>
        </w:rPr>
      </w:pPr>
    </w:p>
    <w:p w:rsidR="00F671E2" w:rsidRDefault="000218AF" w:rsidP="00664426">
      <w:pPr>
        <w:tabs>
          <w:tab w:val="left" w:pos="4035"/>
          <w:tab w:val="center" w:pos="4535"/>
        </w:tabs>
        <w:spacing w:before="240" w:line="360" w:lineRule="auto"/>
        <w:rPr>
          <w:rFonts w:ascii="Arial" w:hAnsi="Arial" w:cs="Arial"/>
          <w:sz w:val="24"/>
          <w:szCs w:val="24"/>
        </w:rPr>
      </w:pPr>
      <w:proofErr w:type="spellStart"/>
      <w:r w:rsidRPr="000218AF">
        <w:rPr>
          <w:rFonts w:ascii="Arial" w:hAnsi="Arial" w:cs="Arial"/>
          <w:sz w:val="24"/>
          <w:szCs w:val="24"/>
        </w:rPr>
        <w:t>Caliaba</w:t>
      </w:r>
      <w:proofErr w:type="spellEnd"/>
      <w:r w:rsidRPr="000218AF">
        <w:rPr>
          <w:rFonts w:ascii="Arial" w:hAnsi="Arial" w:cs="Arial"/>
          <w:sz w:val="24"/>
          <w:szCs w:val="24"/>
        </w:rPr>
        <w:t>, Hugo</w:t>
      </w:r>
    </w:p>
    <w:p w:rsidR="00664426" w:rsidRPr="000218AF" w:rsidRDefault="00664426" w:rsidP="00664426">
      <w:pPr>
        <w:tabs>
          <w:tab w:val="left" w:pos="4035"/>
        </w:tabs>
        <w:spacing w:before="240" w:line="360" w:lineRule="auto"/>
        <w:rPr>
          <w:rFonts w:ascii="Arial" w:hAnsi="Arial" w:cs="Arial"/>
          <w:sz w:val="24"/>
          <w:szCs w:val="24"/>
        </w:rPr>
      </w:pPr>
      <w:r>
        <w:rPr>
          <w:rFonts w:ascii="Arial" w:hAnsi="Arial" w:cs="Arial"/>
          <w:sz w:val="24"/>
          <w:szCs w:val="24"/>
        </w:rPr>
        <w:t>Junio 2020.</w:t>
      </w:r>
    </w:p>
    <w:p w:rsidR="000218AF" w:rsidRDefault="000218AF" w:rsidP="00664426">
      <w:pPr>
        <w:tabs>
          <w:tab w:val="left" w:pos="4035"/>
          <w:tab w:val="center" w:pos="4535"/>
        </w:tabs>
        <w:spacing w:before="240" w:line="360" w:lineRule="auto"/>
        <w:rPr>
          <w:rFonts w:ascii="Arial" w:hAnsi="Arial" w:cs="Arial"/>
          <w:sz w:val="24"/>
          <w:szCs w:val="24"/>
        </w:rPr>
      </w:pPr>
      <w:r w:rsidRPr="000218AF">
        <w:rPr>
          <w:rFonts w:ascii="Arial" w:hAnsi="Arial" w:cs="Arial"/>
          <w:sz w:val="24"/>
          <w:szCs w:val="24"/>
        </w:rPr>
        <w:t>Trabajo monográfico para Técnica Forense 1, Abogacía plan 1989, U</w:t>
      </w:r>
      <w:r w:rsidR="00364C56">
        <w:rPr>
          <w:rFonts w:ascii="Arial" w:hAnsi="Arial" w:cs="Arial"/>
          <w:sz w:val="24"/>
          <w:szCs w:val="24"/>
        </w:rPr>
        <w:t>DELAR</w:t>
      </w:r>
      <w:r w:rsidR="00664426">
        <w:rPr>
          <w:rFonts w:ascii="Arial" w:hAnsi="Arial" w:cs="Arial"/>
          <w:sz w:val="24"/>
          <w:szCs w:val="24"/>
        </w:rPr>
        <w:t>.</w:t>
      </w:r>
    </w:p>
    <w:p w:rsidR="00A878E0" w:rsidRDefault="00A878E0" w:rsidP="00A878E0">
      <w:pPr>
        <w:tabs>
          <w:tab w:val="left" w:pos="4035"/>
          <w:tab w:val="center" w:pos="4535"/>
        </w:tabs>
        <w:spacing w:before="240" w:after="0" w:line="360" w:lineRule="auto"/>
        <w:rPr>
          <w:rFonts w:ascii="Arial" w:hAnsi="Arial" w:cs="Arial"/>
          <w:b/>
          <w:sz w:val="28"/>
          <w:szCs w:val="28"/>
          <w:u w:val="single"/>
        </w:rPr>
      </w:pPr>
    </w:p>
    <w:p w:rsidR="000218AF" w:rsidRPr="000218AF" w:rsidRDefault="000218AF" w:rsidP="00A878E0">
      <w:pPr>
        <w:tabs>
          <w:tab w:val="left" w:pos="4035"/>
          <w:tab w:val="center" w:pos="4535"/>
        </w:tabs>
        <w:spacing w:before="240" w:after="0" w:line="360" w:lineRule="auto"/>
        <w:rPr>
          <w:rFonts w:ascii="Arial" w:hAnsi="Arial" w:cs="Arial"/>
          <w:sz w:val="24"/>
          <w:szCs w:val="24"/>
        </w:rPr>
      </w:pPr>
      <w:r>
        <w:rPr>
          <w:rFonts w:ascii="Arial" w:hAnsi="Arial" w:cs="Arial"/>
          <w:b/>
          <w:sz w:val="28"/>
          <w:szCs w:val="28"/>
          <w:u w:val="single"/>
        </w:rPr>
        <w:t>Í</w:t>
      </w:r>
      <w:r w:rsidRPr="00632F38">
        <w:rPr>
          <w:rFonts w:ascii="Arial" w:hAnsi="Arial" w:cs="Arial"/>
          <w:b/>
          <w:sz w:val="28"/>
          <w:szCs w:val="28"/>
          <w:u w:val="single"/>
        </w:rPr>
        <w:t>ndice</w:t>
      </w:r>
      <w:r w:rsidR="00A878E0">
        <w:rPr>
          <w:rFonts w:ascii="Arial" w:hAnsi="Arial" w:cs="Arial"/>
          <w:b/>
          <w:sz w:val="28"/>
          <w:szCs w:val="28"/>
          <w:u w:val="single"/>
        </w:rPr>
        <w:t>:</w:t>
      </w:r>
    </w:p>
    <w:p w:rsidR="000218AF" w:rsidRPr="00632F38" w:rsidRDefault="000218AF" w:rsidP="000218AF">
      <w:pPr>
        <w:pStyle w:val="Prrafodelista"/>
        <w:numPr>
          <w:ilvl w:val="0"/>
          <w:numId w:val="1"/>
        </w:numPr>
        <w:spacing w:line="360" w:lineRule="auto"/>
        <w:rPr>
          <w:rFonts w:ascii="Arial" w:hAnsi="Arial" w:cs="Arial"/>
          <w:sz w:val="24"/>
          <w:szCs w:val="24"/>
        </w:rPr>
      </w:pPr>
      <w:r w:rsidRPr="00632F38">
        <w:rPr>
          <w:rFonts w:ascii="Arial" w:hAnsi="Arial" w:cs="Arial"/>
          <w:sz w:val="24"/>
          <w:szCs w:val="24"/>
        </w:rPr>
        <w:t>Introducción</w:t>
      </w:r>
      <w:r>
        <w:rPr>
          <w:rFonts w:ascii="Arial" w:hAnsi="Arial" w:cs="Arial"/>
          <w:sz w:val="24"/>
          <w:szCs w:val="24"/>
        </w:rPr>
        <w:t>………………………………………………………………</w:t>
      </w:r>
      <w:r w:rsidR="002F000C">
        <w:rPr>
          <w:rFonts w:ascii="Arial" w:hAnsi="Arial" w:cs="Arial"/>
          <w:sz w:val="24"/>
          <w:szCs w:val="24"/>
        </w:rPr>
        <w:t>…………..2</w:t>
      </w:r>
    </w:p>
    <w:p w:rsidR="000218AF" w:rsidRDefault="000218AF" w:rsidP="000218AF">
      <w:pPr>
        <w:pStyle w:val="Prrafodelista"/>
        <w:numPr>
          <w:ilvl w:val="0"/>
          <w:numId w:val="1"/>
        </w:numPr>
        <w:spacing w:line="360" w:lineRule="auto"/>
        <w:rPr>
          <w:rFonts w:ascii="Arial" w:hAnsi="Arial" w:cs="Arial"/>
          <w:sz w:val="24"/>
          <w:szCs w:val="24"/>
        </w:rPr>
      </w:pPr>
      <w:r w:rsidRPr="00632F38">
        <w:rPr>
          <w:rFonts w:ascii="Arial" w:hAnsi="Arial" w:cs="Arial"/>
          <w:sz w:val="24"/>
          <w:szCs w:val="24"/>
        </w:rPr>
        <w:t>Diversas situaciones de incomparecencia</w:t>
      </w:r>
      <w:r>
        <w:rPr>
          <w:rFonts w:ascii="Arial" w:hAnsi="Arial" w:cs="Arial"/>
          <w:sz w:val="24"/>
          <w:szCs w:val="24"/>
        </w:rPr>
        <w:t>……………………………</w:t>
      </w:r>
      <w:r w:rsidR="00B36C40">
        <w:rPr>
          <w:rFonts w:ascii="Arial" w:hAnsi="Arial" w:cs="Arial"/>
          <w:sz w:val="24"/>
          <w:szCs w:val="24"/>
        </w:rPr>
        <w:t>…………...2</w:t>
      </w:r>
    </w:p>
    <w:p w:rsidR="000218AF" w:rsidRDefault="000218AF" w:rsidP="000218AF">
      <w:pPr>
        <w:pStyle w:val="Prrafodelista"/>
        <w:spacing w:line="360" w:lineRule="auto"/>
        <w:rPr>
          <w:rFonts w:ascii="Arial" w:hAnsi="Arial" w:cs="Arial"/>
          <w:sz w:val="24"/>
          <w:szCs w:val="24"/>
        </w:rPr>
      </w:pPr>
      <w:r>
        <w:rPr>
          <w:rFonts w:ascii="Arial" w:hAnsi="Arial" w:cs="Arial"/>
          <w:sz w:val="24"/>
          <w:szCs w:val="24"/>
        </w:rPr>
        <w:t xml:space="preserve">2.1- Las personas físicas y </w:t>
      </w:r>
      <w:r w:rsidR="00A878E0">
        <w:rPr>
          <w:rFonts w:ascii="Arial" w:hAnsi="Arial" w:cs="Arial"/>
          <w:sz w:val="24"/>
          <w:szCs w:val="24"/>
        </w:rPr>
        <w:t>jurídicas…</w:t>
      </w:r>
      <w:r>
        <w:rPr>
          <w:rFonts w:ascii="Arial" w:hAnsi="Arial" w:cs="Arial"/>
          <w:sz w:val="24"/>
          <w:szCs w:val="24"/>
        </w:rPr>
        <w:t>……………………………</w:t>
      </w:r>
      <w:r w:rsidR="00B36C40">
        <w:rPr>
          <w:rFonts w:ascii="Arial" w:hAnsi="Arial" w:cs="Arial"/>
          <w:sz w:val="24"/>
          <w:szCs w:val="24"/>
        </w:rPr>
        <w:t>……………….2</w:t>
      </w:r>
    </w:p>
    <w:p w:rsidR="000218AF" w:rsidRDefault="000218AF" w:rsidP="000218AF">
      <w:pPr>
        <w:pStyle w:val="Prrafodelista"/>
        <w:spacing w:line="360" w:lineRule="auto"/>
        <w:rPr>
          <w:rFonts w:ascii="Arial" w:hAnsi="Arial" w:cs="Arial"/>
          <w:sz w:val="24"/>
          <w:szCs w:val="24"/>
        </w:rPr>
      </w:pPr>
      <w:r>
        <w:rPr>
          <w:rFonts w:ascii="Arial" w:hAnsi="Arial" w:cs="Arial"/>
          <w:sz w:val="24"/>
          <w:szCs w:val="24"/>
        </w:rPr>
        <w:t>2.2- Diferimiento………………………………………………………</w:t>
      </w:r>
      <w:r w:rsidR="00B36C40">
        <w:rPr>
          <w:rFonts w:ascii="Arial" w:hAnsi="Arial" w:cs="Arial"/>
          <w:sz w:val="24"/>
          <w:szCs w:val="24"/>
        </w:rPr>
        <w:t>……………...3</w:t>
      </w:r>
    </w:p>
    <w:p w:rsidR="000218AF" w:rsidRDefault="000218AF" w:rsidP="000218AF">
      <w:pPr>
        <w:pStyle w:val="Prrafodelista"/>
        <w:spacing w:line="360" w:lineRule="auto"/>
        <w:rPr>
          <w:rFonts w:ascii="Arial" w:hAnsi="Arial" w:cs="Arial"/>
          <w:sz w:val="24"/>
          <w:szCs w:val="24"/>
        </w:rPr>
      </w:pPr>
      <w:r>
        <w:rPr>
          <w:rFonts w:ascii="Arial" w:hAnsi="Arial" w:cs="Arial"/>
          <w:sz w:val="24"/>
          <w:szCs w:val="24"/>
        </w:rPr>
        <w:t>2.3- Incomparecencia de la parte actora</w:t>
      </w:r>
      <w:r w:rsidR="00B36C40">
        <w:rPr>
          <w:rFonts w:ascii="Arial" w:hAnsi="Arial" w:cs="Arial"/>
          <w:sz w:val="24"/>
          <w:szCs w:val="24"/>
        </w:rPr>
        <w:t>…………………………………………..5</w:t>
      </w:r>
    </w:p>
    <w:p w:rsidR="000218AF" w:rsidRDefault="000218AF" w:rsidP="000218AF">
      <w:pPr>
        <w:pStyle w:val="Prrafodelista"/>
        <w:spacing w:line="360" w:lineRule="auto"/>
        <w:rPr>
          <w:rFonts w:ascii="Arial" w:hAnsi="Arial" w:cs="Arial"/>
          <w:sz w:val="24"/>
          <w:szCs w:val="24"/>
        </w:rPr>
      </w:pPr>
      <w:r>
        <w:rPr>
          <w:rFonts w:ascii="Arial" w:hAnsi="Arial" w:cs="Arial"/>
          <w:sz w:val="24"/>
          <w:szCs w:val="24"/>
        </w:rPr>
        <w:t>2.4- Incomparecencia de la parte demandada</w:t>
      </w:r>
      <w:r w:rsidR="00B36C40">
        <w:rPr>
          <w:rFonts w:ascii="Arial" w:hAnsi="Arial" w:cs="Arial"/>
          <w:sz w:val="24"/>
          <w:szCs w:val="24"/>
        </w:rPr>
        <w:t>……………………………………6</w:t>
      </w:r>
    </w:p>
    <w:p w:rsidR="000218AF" w:rsidRPr="00632F38" w:rsidRDefault="000218AF" w:rsidP="000218AF">
      <w:pPr>
        <w:pStyle w:val="Prrafodelista"/>
        <w:spacing w:line="360" w:lineRule="auto"/>
        <w:rPr>
          <w:rFonts w:ascii="Arial" w:hAnsi="Arial" w:cs="Arial"/>
          <w:sz w:val="24"/>
          <w:szCs w:val="24"/>
        </w:rPr>
      </w:pPr>
      <w:r>
        <w:rPr>
          <w:rFonts w:ascii="Arial" w:hAnsi="Arial" w:cs="Arial"/>
          <w:sz w:val="24"/>
          <w:szCs w:val="24"/>
        </w:rPr>
        <w:t>2.5- Incomparecencia del abogado</w:t>
      </w:r>
      <w:r w:rsidR="00B36C40">
        <w:rPr>
          <w:rFonts w:ascii="Arial" w:hAnsi="Arial" w:cs="Arial"/>
          <w:sz w:val="24"/>
          <w:szCs w:val="24"/>
        </w:rPr>
        <w:t>………………………………………………</w:t>
      </w:r>
      <w:r w:rsidR="00C207A9">
        <w:rPr>
          <w:rFonts w:ascii="Arial" w:hAnsi="Arial" w:cs="Arial"/>
          <w:sz w:val="24"/>
          <w:szCs w:val="24"/>
        </w:rPr>
        <w:t>...8</w:t>
      </w:r>
    </w:p>
    <w:p w:rsidR="000218AF" w:rsidRDefault="000218AF" w:rsidP="000218AF">
      <w:pPr>
        <w:pStyle w:val="Prrafodelista"/>
        <w:numPr>
          <w:ilvl w:val="0"/>
          <w:numId w:val="1"/>
        </w:numPr>
        <w:spacing w:line="360" w:lineRule="auto"/>
        <w:rPr>
          <w:rFonts w:ascii="Arial" w:hAnsi="Arial" w:cs="Arial"/>
          <w:sz w:val="24"/>
          <w:szCs w:val="24"/>
        </w:rPr>
      </w:pPr>
      <w:r>
        <w:rPr>
          <w:rFonts w:ascii="Arial" w:hAnsi="Arial" w:cs="Arial"/>
          <w:sz w:val="24"/>
          <w:szCs w:val="24"/>
        </w:rPr>
        <w:t>Jurisprudencia</w:t>
      </w:r>
      <w:r w:rsidR="00C207A9">
        <w:rPr>
          <w:rFonts w:ascii="Arial" w:hAnsi="Arial" w:cs="Arial"/>
          <w:sz w:val="24"/>
          <w:szCs w:val="24"/>
        </w:rPr>
        <w:t>………………………………………………………………………..9</w:t>
      </w:r>
    </w:p>
    <w:p w:rsidR="000218AF" w:rsidRDefault="000218AF" w:rsidP="000218AF">
      <w:pPr>
        <w:pStyle w:val="Prrafodelista"/>
        <w:numPr>
          <w:ilvl w:val="0"/>
          <w:numId w:val="1"/>
        </w:numPr>
        <w:spacing w:line="360" w:lineRule="auto"/>
        <w:rPr>
          <w:rFonts w:ascii="Arial" w:hAnsi="Arial" w:cs="Arial"/>
          <w:sz w:val="24"/>
          <w:szCs w:val="24"/>
        </w:rPr>
      </w:pPr>
      <w:r>
        <w:rPr>
          <w:rFonts w:ascii="Arial" w:hAnsi="Arial" w:cs="Arial"/>
          <w:sz w:val="24"/>
          <w:szCs w:val="24"/>
        </w:rPr>
        <w:t>Conclusiones</w:t>
      </w:r>
      <w:r w:rsidR="00C207A9">
        <w:rPr>
          <w:rFonts w:ascii="Arial" w:hAnsi="Arial" w:cs="Arial"/>
          <w:sz w:val="24"/>
          <w:szCs w:val="24"/>
        </w:rPr>
        <w:t>………………………………………………………………………..10</w:t>
      </w:r>
    </w:p>
    <w:p w:rsidR="000218AF" w:rsidRPr="00632F38" w:rsidRDefault="000218AF" w:rsidP="000218AF">
      <w:pPr>
        <w:pStyle w:val="Prrafodelista"/>
        <w:numPr>
          <w:ilvl w:val="0"/>
          <w:numId w:val="1"/>
        </w:numPr>
        <w:spacing w:line="360" w:lineRule="auto"/>
        <w:rPr>
          <w:rFonts w:ascii="Arial" w:hAnsi="Arial" w:cs="Arial"/>
          <w:sz w:val="24"/>
          <w:szCs w:val="24"/>
        </w:rPr>
      </w:pPr>
      <w:r>
        <w:rPr>
          <w:rFonts w:ascii="Arial" w:hAnsi="Arial" w:cs="Arial"/>
          <w:sz w:val="24"/>
          <w:szCs w:val="24"/>
        </w:rPr>
        <w:t>Bibliografía………………………………………………………………</w:t>
      </w:r>
      <w:r w:rsidR="00C207A9">
        <w:rPr>
          <w:rFonts w:ascii="Arial" w:hAnsi="Arial" w:cs="Arial"/>
          <w:sz w:val="24"/>
          <w:szCs w:val="24"/>
        </w:rPr>
        <w:t>…………..11</w:t>
      </w: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A878E0" w:rsidRDefault="00A878E0" w:rsidP="00664426">
      <w:pPr>
        <w:spacing w:line="360" w:lineRule="auto"/>
        <w:ind w:firstLine="360"/>
        <w:jc w:val="both"/>
        <w:rPr>
          <w:rFonts w:ascii="Arial" w:hAnsi="Arial" w:cs="Arial"/>
          <w:b/>
          <w:sz w:val="28"/>
          <w:szCs w:val="28"/>
          <w:u w:val="single"/>
        </w:rPr>
      </w:pPr>
    </w:p>
    <w:p w:rsidR="00BF2377" w:rsidRPr="00632F38" w:rsidRDefault="00943381" w:rsidP="00A878E0">
      <w:pPr>
        <w:spacing w:line="360" w:lineRule="auto"/>
        <w:ind w:firstLine="708"/>
        <w:jc w:val="both"/>
        <w:rPr>
          <w:rFonts w:ascii="Arial" w:hAnsi="Arial" w:cs="Arial"/>
          <w:b/>
          <w:sz w:val="28"/>
          <w:szCs w:val="28"/>
          <w:u w:val="single"/>
        </w:rPr>
      </w:pPr>
      <w:r w:rsidRPr="00632F38">
        <w:rPr>
          <w:rFonts w:ascii="Arial" w:hAnsi="Arial" w:cs="Arial"/>
          <w:b/>
          <w:sz w:val="28"/>
          <w:szCs w:val="28"/>
          <w:u w:val="single"/>
        </w:rPr>
        <w:lastRenderedPageBreak/>
        <w:t>1. Introducción</w:t>
      </w:r>
    </w:p>
    <w:p w:rsidR="003E1D53" w:rsidRPr="00632F38" w:rsidRDefault="00BF2377" w:rsidP="00460C6C">
      <w:pPr>
        <w:spacing w:line="360" w:lineRule="auto"/>
        <w:jc w:val="both"/>
        <w:rPr>
          <w:rFonts w:ascii="Arial" w:hAnsi="Arial" w:cs="Arial"/>
          <w:sz w:val="24"/>
          <w:szCs w:val="24"/>
        </w:rPr>
      </w:pPr>
      <w:r w:rsidRPr="00632F38">
        <w:rPr>
          <w:rFonts w:ascii="Arial" w:hAnsi="Arial" w:cs="Arial"/>
          <w:sz w:val="24"/>
          <w:szCs w:val="24"/>
        </w:rPr>
        <w:t>El o</w:t>
      </w:r>
      <w:r w:rsidR="00695BF7" w:rsidRPr="00632F38">
        <w:rPr>
          <w:rFonts w:ascii="Arial" w:hAnsi="Arial" w:cs="Arial"/>
          <w:sz w:val="24"/>
          <w:szCs w:val="24"/>
        </w:rPr>
        <w:t>bjetivo del presente trabajo es expo</w:t>
      </w:r>
      <w:r w:rsidR="0061539A">
        <w:rPr>
          <w:rFonts w:ascii="Arial" w:hAnsi="Arial" w:cs="Arial"/>
          <w:sz w:val="24"/>
          <w:szCs w:val="24"/>
        </w:rPr>
        <w:t>ner el tema l</w:t>
      </w:r>
      <w:r w:rsidR="00695BF7" w:rsidRPr="00632F38">
        <w:rPr>
          <w:rFonts w:ascii="Arial" w:hAnsi="Arial" w:cs="Arial"/>
          <w:sz w:val="24"/>
          <w:szCs w:val="24"/>
        </w:rPr>
        <w:t>a incomparecencia en la audiencia preliminar.</w:t>
      </w:r>
      <w:r w:rsidR="00814137" w:rsidRPr="00632F38">
        <w:rPr>
          <w:rFonts w:ascii="Arial" w:hAnsi="Arial" w:cs="Arial"/>
          <w:sz w:val="24"/>
          <w:szCs w:val="24"/>
        </w:rPr>
        <w:t xml:space="preserve"> </w:t>
      </w:r>
      <w:r w:rsidR="00D818BA" w:rsidRPr="00632F38">
        <w:rPr>
          <w:rFonts w:ascii="Arial" w:hAnsi="Arial" w:cs="Arial"/>
          <w:sz w:val="24"/>
          <w:szCs w:val="24"/>
        </w:rPr>
        <w:t>A los efectos de dar al lector una visión gener</w:t>
      </w:r>
      <w:r w:rsidR="0061539A">
        <w:rPr>
          <w:rFonts w:ascii="Arial" w:hAnsi="Arial" w:cs="Arial"/>
          <w:sz w:val="24"/>
          <w:szCs w:val="24"/>
        </w:rPr>
        <w:t>al de los aspectos que se trataran</w:t>
      </w:r>
      <w:r w:rsidR="00D818BA" w:rsidRPr="00632F38">
        <w:rPr>
          <w:rFonts w:ascii="Arial" w:hAnsi="Arial" w:cs="Arial"/>
          <w:sz w:val="24"/>
          <w:szCs w:val="24"/>
        </w:rPr>
        <w:t xml:space="preserve"> en esta monografía, detallamos a continuación la estructura que la misma tendrá.</w:t>
      </w:r>
    </w:p>
    <w:p w:rsidR="003E1D53" w:rsidRPr="00632F38" w:rsidRDefault="00814137" w:rsidP="00460C6C">
      <w:pPr>
        <w:spacing w:line="360" w:lineRule="auto"/>
        <w:jc w:val="both"/>
        <w:rPr>
          <w:rFonts w:ascii="Arial" w:hAnsi="Arial" w:cs="Arial"/>
          <w:sz w:val="24"/>
          <w:szCs w:val="24"/>
        </w:rPr>
      </w:pPr>
      <w:r w:rsidRPr="00632F38">
        <w:rPr>
          <w:rFonts w:ascii="Arial" w:hAnsi="Arial" w:cs="Arial"/>
          <w:sz w:val="24"/>
          <w:szCs w:val="24"/>
        </w:rPr>
        <w:t>Iniciaremos</w:t>
      </w:r>
      <w:r w:rsidR="00695BF7" w:rsidRPr="00632F38">
        <w:rPr>
          <w:rFonts w:ascii="Arial" w:hAnsi="Arial" w:cs="Arial"/>
          <w:sz w:val="24"/>
          <w:szCs w:val="24"/>
        </w:rPr>
        <w:t xml:space="preserve"> aborda</w:t>
      </w:r>
      <w:r w:rsidRPr="00632F38">
        <w:rPr>
          <w:rFonts w:ascii="Arial" w:hAnsi="Arial" w:cs="Arial"/>
          <w:sz w:val="24"/>
          <w:szCs w:val="24"/>
        </w:rPr>
        <w:t>ndo</w:t>
      </w:r>
      <w:r w:rsidR="00695BF7" w:rsidRPr="00632F38">
        <w:rPr>
          <w:rFonts w:ascii="Arial" w:hAnsi="Arial" w:cs="Arial"/>
          <w:sz w:val="24"/>
          <w:szCs w:val="24"/>
        </w:rPr>
        <w:t xml:space="preserve"> algunos de los </w:t>
      </w:r>
      <w:r w:rsidRPr="00632F38">
        <w:rPr>
          <w:rFonts w:ascii="Arial" w:hAnsi="Arial" w:cs="Arial"/>
          <w:sz w:val="24"/>
          <w:szCs w:val="24"/>
        </w:rPr>
        <w:t xml:space="preserve">principales </w:t>
      </w:r>
      <w:r w:rsidR="00695BF7" w:rsidRPr="00632F38">
        <w:rPr>
          <w:rFonts w:ascii="Arial" w:hAnsi="Arial" w:cs="Arial"/>
          <w:sz w:val="24"/>
          <w:szCs w:val="24"/>
        </w:rPr>
        <w:t>puntos que el estudio de esta temática requiere,</w:t>
      </w:r>
      <w:r w:rsidR="006A1A68" w:rsidRPr="00632F38">
        <w:rPr>
          <w:rFonts w:ascii="Arial" w:hAnsi="Arial" w:cs="Arial"/>
          <w:sz w:val="24"/>
          <w:szCs w:val="24"/>
        </w:rPr>
        <w:t xml:space="preserve"> los cuales </w:t>
      </w:r>
      <w:r w:rsidR="00695BF7" w:rsidRPr="00632F38">
        <w:rPr>
          <w:rFonts w:ascii="Arial" w:hAnsi="Arial" w:cs="Arial"/>
          <w:sz w:val="24"/>
          <w:szCs w:val="24"/>
        </w:rPr>
        <w:t>han sido ya objeto de investigación por</w:t>
      </w:r>
      <w:r w:rsidR="006A1A68" w:rsidRPr="00632F38">
        <w:rPr>
          <w:rFonts w:ascii="Arial" w:hAnsi="Arial" w:cs="Arial"/>
          <w:sz w:val="24"/>
          <w:szCs w:val="24"/>
        </w:rPr>
        <w:t xml:space="preserve"> parte de</w:t>
      </w:r>
      <w:r w:rsidR="00695BF7" w:rsidRPr="00632F38">
        <w:rPr>
          <w:rFonts w:ascii="Arial" w:hAnsi="Arial" w:cs="Arial"/>
          <w:sz w:val="24"/>
          <w:szCs w:val="24"/>
        </w:rPr>
        <w:t xml:space="preserve"> la doctrina nacional</w:t>
      </w:r>
      <w:r w:rsidR="003E1D53" w:rsidRPr="00632F38">
        <w:rPr>
          <w:rFonts w:ascii="Arial" w:hAnsi="Arial" w:cs="Arial"/>
          <w:sz w:val="24"/>
          <w:szCs w:val="24"/>
        </w:rPr>
        <w:t>.</w:t>
      </w:r>
      <w:r w:rsidR="00D55FCC" w:rsidRPr="00632F38">
        <w:rPr>
          <w:rFonts w:ascii="Arial" w:hAnsi="Arial" w:cs="Arial"/>
          <w:sz w:val="24"/>
          <w:szCs w:val="24"/>
        </w:rPr>
        <w:t xml:space="preserve"> Simultáneamente, iremos haciendo referencia al régimen anterior a la Ley 19.090 y a los cambios introducidos por este. </w:t>
      </w:r>
      <w:r w:rsidR="003E1D53" w:rsidRPr="00632F38">
        <w:rPr>
          <w:rFonts w:ascii="Arial" w:hAnsi="Arial" w:cs="Arial"/>
          <w:sz w:val="24"/>
          <w:szCs w:val="24"/>
        </w:rPr>
        <w:t xml:space="preserve"> </w:t>
      </w:r>
    </w:p>
    <w:p w:rsidR="00BF2377" w:rsidRPr="00632F38" w:rsidRDefault="003E1D53" w:rsidP="00460C6C">
      <w:pPr>
        <w:spacing w:line="360" w:lineRule="auto"/>
        <w:jc w:val="both"/>
        <w:rPr>
          <w:rFonts w:ascii="Arial" w:hAnsi="Arial" w:cs="Arial"/>
          <w:sz w:val="24"/>
          <w:szCs w:val="24"/>
        </w:rPr>
      </w:pPr>
      <w:r w:rsidRPr="00632F38">
        <w:rPr>
          <w:rFonts w:ascii="Arial" w:hAnsi="Arial" w:cs="Arial"/>
          <w:sz w:val="24"/>
          <w:szCs w:val="24"/>
        </w:rPr>
        <w:t>H</w:t>
      </w:r>
      <w:r w:rsidR="009652B6" w:rsidRPr="00632F38">
        <w:rPr>
          <w:rFonts w:ascii="Arial" w:hAnsi="Arial" w:cs="Arial"/>
          <w:sz w:val="24"/>
          <w:szCs w:val="24"/>
        </w:rPr>
        <w:t xml:space="preserve">aremos </w:t>
      </w:r>
      <w:r w:rsidRPr="00632F38">
        <w:rPr>
          <w:rFonts w:ascii="Arial" w:hAnsi="Arial" w:cs="Arial"/>
          <w:sz w:val="24"/>
          <w:szCs w:val="24"/>
        </w:rPr>
        <w:t xml:space="preserve">también </w:t>
      </w:r>
      <w:r w:rsidR="009652B6" w:rsidRPr="00632F38">
        <w:rPr>
          <w:rFonts w:ascii="Arial" w:hAnsi="Arial" w:cs="Arial"/>
          <w:sz w:val="24"/>
          <w:szCs w:val="24"/>
        </w:rPr>
        <w:t>referencia a</w:t>
      </w:r>
      <w:r w:rsidR="00695BF7" w:rsidRPr="00632F38">
        <w:rPr>
          <w:rFonts w:ascii="Arial" w:hAnsi="Arial" w:cs="Arial"/>
          <w:sz w:val="24"/>
          <w:szCs w:val="24"/>
        </w:rPr>
        <w:t xml:space="preserve"> pronunciamientos </w:t>
      </w:r>
      <w:r w:rsidR="006A1A68" w:rsidRPr="00632F38">
        <w:rPr>
          <w:rFonts w:ascii="Arial" w:hAnsi="Arial" w:cs="Arial"/>
          <w:sz w:val="24"/>
          <w:szCs w:val="24"/>
        </w:rPr>
        <w:t xml:space="preserve">que </w:t>
      </w:r>
      <w:r w:rsidR="00695BF7" w:rsidRPr="00632F38">
        <w:rPr>
          <w:rFonts w:ascii="Arial" w:hAnsi="Arial" w:cs="Arial"/>
          <w:sz w:val="24"/>
          <w:szCs w:val="24"/>
        </w:rPr>
        <w:t xml:space="preserve">la jurisprudencia </w:t>
      </w:r>
      <w:r w:rsidR="006A1A68" w:rsidRPr="00632F38">
        <w:rPr>
          <w:rFonts w:ascii="Arial" w:hAnsi="Arial" w:cs="Arial"/>
          <w:sz w:val="24"/>
          <w:szCs w:val="24"/>
        </w:rPr>
        <w:t xml:space="preserve">ha hecho </w:t>
      </w:r>
      <w:r w:rsidR="009652B6" w:rsidRPr="00632F38">
        <w:rPr>
          <w:rFonts w:ascii="Arial" w:hAnsi="Arial" w:cs="Arial"/>
          <w:sz w:val="24"/>
          <w:szCs w:val="24"/>
        </w:rPr>
        <w:t xml:space="preserve">al </w:t>
      </w:r>
      <w:r w:rsidR="00695BF7" w:rsidRPr="00632F38">
        <w:rPr>
          <w:rFonts w:ascii="Arial" w:hAnsi="Arial" w:cs="Arial"/>
          <w:sz w:val="24"/>
          <w:szCs w:val="24"/>
        </w:rPr>
        <w:t>respecto</w:t>
      </w:r>
      <w:r w:rsidR="00814137" w:rsidRPr="00632F38">
        <w:rPr>
          <w:rFonts w:ascii="Arial" w:hAnsi="Arial" w:cs="Arial"/>
          <w:sz w:val="24"/>
          <w:szCs w:val="24"/>
        </w:rPr>
        <w:t>. Esto</w:t>
      </w:r>
      <w:r w:rsidRPr="00632F38">
        <w:rPr>
          <w:rFonts w:ascii="Arial" w:hAnsi="Arial" w:cs="Arial"/>
          <w:sz w:val="24"/>
          <w:szCs w:val="24"/>
        </w:rPr>
        <w:t xml:space="preserve"> a modo de ver como se inserta el tema en la </w:t>
      </w:r>
      <w:r w:rsidR="00814137" w:rsidRPr="00632F38">
        <w:rPr>
          <w:rFonts w:ascii="Arial" w:hAnsi="Arial" w:cs="Arial"/>
          <w:sz w:val="24"/>
          <w:szCs w:val="24"/>
        </w:rPr>
        <w:t>práctica</w:t>
      </w:r>
      <w:r w:rsidRPr="00632F38">
        <w:rPr>
          <w:rFonts w:ascii="Arial" w:hAnsi="Arial" w:cs="Arial"/>
          <w:sz w:val="24"/>
          <w:szCs w:val="24"/>
        </w:rPr>
        <w:t xml:space="preserve"> jurídica</w:t>
      </w:r>
      <w:r w:rsidR="001541F4" w:rsidRPr="00632F38">
        <w:rPr>
          <w:rFonts w:ascii="Arial" w:hAnsi="Arial" w:cs="Arial"/>
          <w:sz w:val="24"/>
          <w:szCs w:val="24"/>
        </w:rPr>
        <w:t xml:space="preserve"> al ser</w:t>
      </w:r>
      <w:r w:rsidR="00814137" w:rsidRPr="00632F38">
        <w:rPr>
          <w:rFonts w:ascii="Arial" w:hAnsi="Arial" w:cs="Arial"/>
          <w:sz w:val="24"/>
          <w:szCs w:val="24"/>
        </w:rPr>
        <w:t xml:space="preserve"> aplicado por los tribunales.</w:t>
      </w:r>
    </w:p>
    <w:p w:rsidR="00814137" w:rsidRPr="00632F38" w:rsidRDefault="00814137" w:rsidP="00460C6C">
      <w:pPr>
        <w:spacing w:line="360" w:lineRule="auto"/>
        <w:jc w:val="both"/>
        <w:rPr>
          <w:rFonts w:ascii="Arial" w:hAnsi="Arial" w:cs="Arial"/>
          <w:sz w:val="24"/>
          <w:szCs w:val="24"/>
        </w:rPr>
      </w:pPr>
      <w:r w:rsidRPr="00632F38">
        <w:rPr>
          <w:rFonts w:ascii="Arial" w:hAnsi="Arial" w:cs="Arial"/>
          <w:sz w:val="24"/>
          <w:szCs w:val="24"/>
        </w:rPr>
        <w:t>Por ú</w:t>
      </w:r>
      <w:r w:rsidR="0061539A">
        <w:rPr>
          <w:rFonts w:ascii="Arial" w:hAnsi="Arial" w:cs="Arial"/>
          <w:sz w:val="24"/>
          <w:szCs w:val="24"/>
        </w:rPr>
        <w:t>ltimo, finalizaremos realizando</w:t>
      </w:r>
      <w:r w:rsidRPr="00632F38">
        <w:rPr>
          <w:rFonts w:ascii="Arial" w:hAnsi="Arial" w:cs="Arial"/>
          <w:sz w:val="24"/>
          <w:szCs w:val="24"/>
        </w:rPr>
        <w:t xml:space="preserve"> una reflexión </w:t>
      </w:r>
      <w:r w:rsidR="001541F4" w:rsidRPr="00632F38">
        <w:rPr>
          <w:rFonts w:ascii="Arial" w:hAnsi="Arial" w:cs="Arial"/>
          <w:sz w:val="24"/>
          <w:szCs w:val="24"/>
        </w:rPr>
        <w:t>de nuestra autoría.</w:t>
      </w:r>
    </w:p>
    <w:p w:rsidR="00A878E0" w:rsidRDefault="00A878E0" w:rsidP="00A878E0">
      <w:pPr>
        <w:spacing w:line="360" w:lineRule="auto"/>
        <w:jc w:val="both"/>
        <w:rPr>
          <w:rFonts w:ascii="Arial" w:hAnsi="Arial" w:cs="Arial"/>
          <w:sz w:val="24"/>
          <w:szCs w:val="24"/>
        </w:rPr>
      </w:pPr>
    </w:p>
    <w:p w:rsidR="00460C6C" w:rsidRPr="00632F38" w:rsidRDefault="00943381" w:rsidP="00A878E0">
      <w:pPr>
        <w:spacing w:line="360" w:lineRule="auto"/>
        <w:ind w:firstLine="708"/>
        <w:jc w:val="both"/>
        <w:rPr>
          <w:rFonts w:ascii="Arial" w:hAnsi="Arial" w:cs="Arial"/>
          <w:b/>
          <w:sz w:val="28"/>
          <w:szCs w:val="28"/>
          <w:u w:val="single"/>
        </w:rPr>
      </w:pPr>
      <w:r w:rsidRPr="00632F38">
        <w:rPr>
          <w:rFonts w:ascii="Arial" w:hAnsi="Arial" w:cs="Arial"/>
          <w:b/>
          <w:sz w:val="28"/>
          <w:szCs w:val="28"/>
          <w:u w:val="single"/>
        </w:rPr>
        <w:t xml:space="preserve">2. </w:t>
      </w:r>
      <w:r w:rsidR="002E5133">
        <w:rPr>
          <w:rFonts w:ascii="Arial" w:hAnsi="Arial" w:cs="Arial"/>
          <w:b/>
          <w:sz w:val="28"/>
          <w:szCs w:val="28"/>
          <w:u w:val="single"/>
        </w:rPr>
        <w:t>Diversas situaciones de incomparecencia.</w:t>
      </w:r>
    </w:p>
    <w:p w:rsidR="001E44F4" w:rsidRDefault="0075183B" w:rsidP="001E44F4">
      <w:pPr>
        <w:spacing w:line="360" w:lineRule="auto"/>
        <w:jc w:val="both"/>
        <w:rPr>
          <w:rFonts w:ascii="Arial" w:hAnsi="Arial" w:cs="Arial"/>
          <w:b/>
          <w:sz w:val="28"/>
          <w:szCs w:val="28"/>
          <w:u w:val="single"/>
        </w:rPr>
      </w:pPr>
      <w:r w:rsidRPr="00632F38">
        <w:rPr>
          <w:rFonts w:ascii="Arial" w:hAnsi="Arial" w:cs="Arial"/>
          <w:sz w:val="24"/>
          <w:szCs w:val="24"/>
        </w:rPr>
        <w:t xml:space="preserve">El principal cuerpo legal que </w:t>
      </w:r>
      <w:r w:rsidR="000E3BC0" w:rsidRPr="00632F38">
        <w:rPr>
          <w:rFonts w:ascii="Arial" w:hAnsi="Arial" w:cs="Arial"/>
          <w:sz w:val="24"/>
          <w:szCs w:val="24"/>
        </w:rPr>
        <w:t xml:space="preserve">regula </w:t>
      </w:r>
      <w:r w:rsidRPr="00632F38">
        <w:rPr>
          <w:rFonts w:ascii="Arial" w:hAnsi="Arial" w:cs="Arial"/>
          <w:sz w:val="24"/>
          <w:szCs w:val="24"/>
        </w:rPr>
        <w:t xml:space="preserve">la comparecencia a la audiencia preliminar y las consecuencias de la incomparecencia a </w:t>
      </w:r>
      <w:r w:rsidR="00AB7237" w:rsidRPr="00632F38">
        <w:rPr>
          <w:rFonts w:ascii="Arial" w:hAnsi="Arial" w:cs="Arial"/>
          <w:sz w:val="24"/>
          <w:szCs w:val="24"/>
        </w:rPr>
        <w:t>ella</w:t>
      </w:r>
      <w:r w:rsidRPr="00632F38">
        <w:rPr>
          <w:rFonts w:ascii="Arial" w:hAnsi="Arial" w:cs="Arial"/>
          <w:sz w:val="24"/>
          <w:szCs w:val="24"/>
        </w:rPr>
        <w:t xml:space="preserve">, es el Código General del Proceso </w:t>
      </w:r>
      <w:r w:rsidR="00740CAD" w:rsidRPr="00632F38">
        <w:rPr>
          <w:rFonts w:ascii="Arial" w:hAnsi="Arial" w:cs="Arial"/>
          <w:sz w:val="24"/>
          <w:szCs w:val="24"/>
        </w:rPr>
        <w:t xml:space="preserve">(en adelante lo abreviaremos como C.G.P.), específicamente </w:t>
      </w:r>
      <w:r w:rsidRPr="00632F38">
        <w:rPr>
          <w:rFonts w:ascii="Arial" w:hAnsi="Arial" w:cs="Arial"/>
          <w:sz w:val="24"/>
          <w:szCs w:val="24"/>
        </w:rPr>
        <w:t xml:space="preserve">en su artículo 340. De esta manera, resulta imposible </w:t>
      </w:r>
      <w:r w:rsidR="00BC17F0" w:rsidRPr="00632F38">
        <w:rPr>
          <w:rFonts w:ascii="Arial" w:hAnsi="Arial" w:cs="Arial"/>
          <w:sz w:val="24"/>
          <w:szCs w:val="24"/>
        </w:rPr>
        <w:t>realizar un</w:t>
      </w:r>
      <w:r w:rsidRPr="00632F38">
        <w:rPr>
          <w:rFonts w:ascii="Arial" w:hAnsi="Arial" w:cs="Arial"/>
          <w:sz w:val="24"/>
          <w:szCs w:val="24"/>
        </w:rPr>
        <w:t xml:space="preserve"> estudio de</w:t>
      </w:r>
      <w:r w:rsidR="000E3BC0" w:rsidRPr="00632F38">
        <w:rPr>
          <w:rFonts w:ascii="Arial" w:hAnsi="Arial" w:cs="Arial"/>
          <w:sz w:val="24"/>
          <w:szCs w:val="24"/>
        </w:rPr>
        <w:t>l tema</w:t>
      </w:r>
      <w:r w:rsidRPr="00632F38">
        <w:rPr>
          <w:rFonts w:ascii="Arial" w:hAnsi="Arial" w:cs="Arial"/>
          <w:sz w:val="24"/>
          <w:szCs w:val="24"/>
        </w:rPr>
        <w:t xml:space="preserve"> sin </w:t>
      </w:r>
      <w:r w:rsidR="000E3BC0" w:rsidRPr="00632F38">
        <w:rPr>
          <w:rFonts w:ascii="Arial" w:hAnsi="Arial" w:cs="Arial"/>
          <w:sz w:val="24"/>
          <w:szCs w:val="24"/>
        </w:rPr>
        <w:t>analizar</w:t>
      </w:r>
      <w:r w:rsidRPr="00632F38">
        <w:rPr>
          <w:rFonts w:ascii="Arial" w:hAnsi="Arial" w:cs="Arial"/>
          <w:sz w:val="24"/>
          <w:szCs w:val="24"/>
        </w:rPr>
        <w:t xml:space="preserve"> este texto normativo.</w:t>
      </w:r>
    </w:p>
    <w:p w:rsidR="00460C6C" w:rsidRPr="00A878E0" w:rsidRDefault="00FF025E" w:rsidP="001E44F4">
      <w:pPr>
        <w:spacing w:line="360" w:lineRule="auto"/>
        <w:ind w:firstLine="708"/>
        <w:jc w:val="both"/>
        <w:rPr>
          <w:rFonts w:ascii="Arial" w:hAnsi="Arial" w:cs="Arial"/>
          <w:b/>
          <w:sz w:val="28"/>
          <w:szCs w:val="28"/>
        </w:rPr>
      </w:pPr>
      <w:r w:rsidRPr="00A878E0">
        <w:rPr>
          <w:rFonts w:ascii="Arial" w:hAnsi="Arial" w:cs="Arial"/>
          <w:b/>
          <w:sz w:val="24"/>
          <w:szCs w:val="24"/>
        </w:rPr>
        <w:t xml:space="preserve">2.1 </w:t>
      </w:r>
      <w:r w:rsidR="00FD0EF3" w:rsidRPr="00A878E0">
        <w:rPr>
          <w:rFonts w:ascii="Arial" w:hAnsi="Arial" w:cs="Arial"/>
          <w:b/>
          <w:sz w:val="24"/>
          <w:szCs w:val="24"/>
        </w:rPr>
        <w:t>Las personas físicas y jurídicas</w:t>
      </w:r>
    </w:p>
    <w:p w:rsidR="00A447FC" w:rsidRPr="00632F38" w:rsidRDefault="00740CAD" w:rsidP="00460C6C">
      <w:pPr>
        <w:spacing w:line="360" w:lineRule="auto"/>
        <w:jc w:val="both"/>
        <w:rPr>
          <w:rFonts w:ascii="Arial" w:hAnsi="Arial" w:cs="Arial"/>
          <w:b/>
          <w:sz w:val="24"/>
          <w:szCs w:val="24"/>
          <w:u w:val="single"/>
        </w:rPr>
      </w:pPr>
      <w:r w:rsidRPr="00632F38">
        <w:rPr>
          <w:rFonts w:ascii="Arial" w:hAnsi="Arial" w:cs="Arial"/>
          <w:sz w:val="24"/>
          <w:szCs w:val="24"/>
        </w:rPr>
        <w:t xml:space="preserve">El </w:t>
      </w:r>
      <w:r w:rsidR="00024F2A" w:rsidRPr="00632F38">
        <w:rPr>
          <w:rFonts w:ascii="Arial" w:hAnsi="Arial" w:cs="Arial"/>
          <w:sz w:val="24"/>
          <w:szCs w:val="24"/>
        </w:rPr>
        <w:t>artículo</w:t>
      </w:r>
      <w:r w:rsidRPr="00632F38">
        <w:rPr>
          <w:rFonts w:ascii="Arial" w:hAnsi="Arial" w:cs="Arial"/>
          <w:sz w:val="24"/>
          <w:szCs w:val="24"/>
        </w:rPr>
        <w:t xml:space="preserve"> 340</w:t>
      </w:r>
      <w:r w:rsidR="00A447FC" w:rsidRPr="00632F38">
        <w:rPr>
          <w:rFonts w:ascii="Arial" w:hAnsi="Arial" w:cs="Arial"/>
          <w:sz w:val="24"/>
          <w:szCs w:val="24"/>
        </w:rPr>
        <w:t>.1</w:t>
      </w:r>
      <w:r w:rsidRPr="00632F38">
        <w:rPr>
          <w:rFonts w:ascii="Arial" w:hAnsi="Arial" w:cs="Arial"/>
          <w:sz w:val="24"/>
          <w:szCs w:val="24"/>
        </w:rPr>
        <w:t xml:space="preserve"> del C.G.P. comienza de la siguiente manera: </w:t>
      </w:r>
      <w:r w:rsidR="00024F2A" w:rsidRPr="00632F38">
        <w:rPr>
          <w:rFonts w:ascii="Arial" w:hAnsi="Arial" w:cs="Arial"/>
          <w:sz w:val="24"/>
          <w:szCs w:val="24"/>
        </w:rPr>
        <w:t>“</w:t>
      </w:r>
      <w:r w:rsidR="00A447FC" w:rsidRPr="00632F38">
        <w:rPr>
          <w:rFonts w:ascii="Arial" w:hAnsi="Arial" w:cs="Arial"/>
          <w:sz w:val="24"/>
          <w:szCs w:val="24"/>
        </w:rPr>
        <w:t>Las partes deberán comparecer a la audiencia en forma personal, salvo motivo fundado, a juicio del tribunal, que justificare la comparecencia por representante. Las personas jurídicas y los incapaces comparecerán por intermedio de sus representantes”.</w:t>
      </w:r>
    </w:p>
    <w:p w:rsidR="00CE7AED" w:rsidRPr="00632F38" w:rsidRDefault="0061539A" w:rsidP="00460C6C">
      <w:pPr>
        <w:spacing w:line="360" w:lineRule="auto"/>
        <w:jc w:val="both"/>
        <w:rPr>
          <w:rFonts w:ascii="Arial" w:hAnsi="Arial" w:cs="Arial"/>
          <w:sz w:val="24"/>
          <w:szCs w:val="24"/>
        </w:rPr>
      </w:pPr>
      <w:r>
        <w:rPr>
          <w:rFonts w:ascii="Arial" w:hAnsi="Arial" w:cs="Arial"/>
          <w:sz w:val="24"/>
          <w:szCs w:val="24"/>
        </w:rPr>
        <w:t>Se desprende</w:t>
      </w:r>
      <w:r w:rsidR="00CE7AED" w:rsidRPr="00632F38">
        <w:rPr>
          <w:rFonts w:ascii="Arial" w:hAnsi="Arial" w:cs="Arial"/>
          <w:sz w:val="24"/>
          <w:szCs w:val="24"/>
        </w:rPr>
        <w:t xml:space="preserve"> de la citada disposición dos regímenes </w:t>
      </w:r>
      <w:r w:rsidR="00571099" w:rsidRPr="00632F38">
        <w:rPr>
          <w:rFonts w:ascii="Arial" w:hAnsi="Arial" w:cs="Arial"/>
          <w:sz w:val="24"/>
          <w:szCs w:val="24"/>
        </w:rPr>
        <w:t>jurídicos</w:t>
      </w:r>
      <w:r w:rsidR="00AE7260" w:rsidRPr="00632F38">
        <w:rPr>
          <w:rFonts w:ascii="Arial" w:hAnsi="Arial" w:cs="Arial"/>
          <w:sz w:val="24"/>
          <w:szCs w:val="24"/>
        </w:rPr>
        <w:t xml:space="preserve"> </w:t>
      </w:r>
      <w:r w:rsidR="00CE7AED" w:rsidRPr="00632F38">
        <w:rPr>
          <w:rFonts w:ascii="Arial" w:hAnsi="Arial" w:cs="Arial"/>
          <w:sz w:val="24"/>
          <w:szCs w:val="24"/>
        </w:rPr>
        <w:t>diferentes</w:t>
      </w:r>
      <w:r w:rsidR="00AE7260" w:rsidRPr="00632F38">
        <w:rPr>
          <w:rFonts w:ascii="Arial" w:hAnsi="Arial" w:cs="Arial"/>
          <w:sz w:val="24"/>
          <w:szCs w:val="24"/>
        </w:rPr>
        <w:t>.</w:t>
      </w:r>
      <w:r w:rsidR="00CE7AED" w:rsidRPr="00632F38">
        <w:rPr>
          <w:rFonts w:ascii="Arial" w:hAnsi="Arial" w:cs="Arial"/>
          <w:sz w:val="24"/>
          <w:szCs w:val="24"/>
        </w:rPr>
        <w:t xml:space="preserve"> </w:t>
      </w:r>
      <w:r w:rsidR="00AE7260" w:rsidRPr="00632F38">
        <w:rPr>
          <w:rFonts w:ascii="Arial" w:hAnsi="Arial" w:cs="Arial"/>
          <w:sz w:val="24"/>
          <w:szCs w:val="24"/>
        </w:rPr>
        <w:t xml:space="preserve">El primero de ellos </w:t>
      </w:r>
      <w:r>
        <w:rPr>
          <w:rFonts w:ascii="Arial" w:hAnsi="Arial" w:cs="Arial"/>
          <w:sz w:val="24"/>
          <w:szCs w:val="24"/>
        </w:rPr>
        <w:t>es</w:t>
      </w:r>
      <w:r w:rsidR="00CE7AED" w:rsidRPr="00632F38">
        <w:rPr>
          <w:rFonts w:ascii="Arial" w:hAnsi="Arial" w:cs="Arial"/>
          <w:sz w:val="24"/>
          <w:szCs w:val="24"/>
        </w:rPr>
        <w:t xml:space="preserve"> aquel que rige</w:t>
      </w:r>
      <w:r>
        <w:rPr>
          <w:rFonts w:ascii="Arial" w:hAnsi="Arial" w:cs="Arial"/>
          <w:sz w:val="24"/>
          <w:szCs w:val="24"/>
        </w:rPr>
        <w:t xml:space="preserve"> a las personas físicas capaces. E</w:t>
      </w:r>
      <w:r w:rsidR="00CE7AED" w:rsidRPr="00632F38">
        <w:rPr>
          <w:rFonts w:ascii="Arial" w:hAnsi="Arial" w:cs="Arial"/>
          <w:sz w:val="24"/>
          <w:szCs w:val="24"/>
        </w:rPr>
        <w:t xml:space="preserve">l segundo </w:t>
      </w:r>
      <w:r>
        <w:rPr>
          <w:rFonts w:ascii="Arial" w:hAnsi="Arial" w:cs="Arial"/>
          <w:sz w:val="24"/>
          <w:szCs w:val="24"/>
        </w:rPr>
        <w:t xml:space="preserve">es el </w:t>
      </w:r>
      <w:r w:rsidR="00AE7260" w:rsidRPr="00632F38">
        <w:rPr>
          <w:rFonts w:ascii="Arial" w:hAnsi="Arial" w:cs="Arial"/>
          <w:sz w:val="24"/>
          <w:szCs w:val="24"/>
        </w:rPr>
        <w:t>aplica</w:t>
      </w:r>
      <w:r>
        <w:rPr>
          <w:rFonts w:ascii="Arial" w:hAnsi="Arial" w:cs="Arial"/>
          <w:sz w:val="24"/>
          <w:szCs w:val="24"/>
        </w:rPr>
        <w:t>ble a</w:t>
      </w:r>
      <w:r w:rsidR="00AE7260" w:rsidRPr="00632F38">
        <w:rPr>
          <w:rFonts w:ascii="Arial" w:hAnsi="Arial" w:cs="Arial"/>
          <w:sz w:val="24"/>
          <w:szCs w:val="24"/>
        </w:rPr>
        <w:t xml:space="preserve"> las personas fiscas incapaces y a las personas jurídicas.</w:t>
      </w:r>
    </w:p>
    <w:p w:rsidR="008F5128" w:rsidRPr="00632F38" w:rsidRDefault="006A793C" w:rsidP="00460C6C">
      <w:pPr>
        <w:spacing w:line="360" w:lineRule="auto"/>
        <w:jc w:val="both"/>
        <w:rPr>
          <w:rFonts w:ascii="Arial" w:hAnsi="Arial" w:cs="Arial"/>
          <w:sz w:val="24"/>
          <w:szCs w:val="24"/>
        </w:rPr>
      </w:pPr>
      <w:r w:rsidRPr="00632F38">
        <w:rPr>
          <w:rFonts w:ascii="Arial" w:hAnsi="Arial" w:cs="Arial"/>
          <w:sz w:val="24"/>
          <w:szCs w:val="24"/>
        </w:rPr>
        <w:lastRenderedPageBreak/>
        <w:t>En pr</w:t>
      </w:r>
      <w:r w:rsidR="002D7A04" w:rsidRPr="00632F38">
        <w:rPr>
          <w:rFonts w:ascii="Arial" w:hAnsi="Arial" w:cs="Arial"/>
          <w:sz w:val="24"/>
          <w:szCs w:val="24"/>
        </w:rPr>
        <w:t xml:space="preserve">imer lugar, la norma </w:t>
      </w:r>
      <w:r w:rsidR="00AB7237" w:rsidRPr="00632F38">
        <w:rPr>
          <w:rFonts w:ascii="Arial" w:hAnsi="Arial" w:cs="Arial"/>
          <w:sz w:val="24"/>
          <w:szCs w:val="24"/>
        </w:rPr>
        <w:t>les</w:t>
      </w:r>
      <w:r w:rsidR="002D7A04" w:rsidRPr="00632F38">
        <w:rPr>
          <w:rFonts w:ascii="Arial" w:hAnsi="Arial" w:cs="Arial"/>
          <w:sz w:val="24"/>
          <w:szCs w:val="24"/>
        </w:rPr>
        <w:t xml:space="preserve"> exige a las personas físicas capaces </w:t>
      </w:r>
      <w:r w:rsidR="008F5128" w:rsidRPr="00632F38">
        <w:rPr>
          <w:rFonts w:ascii="Arial" w:hAnsi="Arial" w:cs="Arial"/>
          <w:sz w:val="24"/>
          <w:szCs w:val="24"/>
        </w:rPr>
        <w:t>la</w:t>
      </w:r>
      <w:r w:rsidR="002D7A04" w:rsidRPr="00632F38">
        <w:rPr>
          <w:rFonts w:ascii="Arial" w:hAnsi="Arial" w:cs="Arial"/>
          <w:sz w:val="24"/>
          <w:szCs w:val="24"/>
        </w:rPr>
        <w:t xml:space="preserve"> comparecencia </w:t>
      </w:r>
      <w:r w:rsidR="008F5128" w:rsidRPr="00632F38">
        <w:rPr>
          <w:rFonts w:ascii="Arial" w:hAnsi="Arial" w:cs="Arial"/>
          <w:sz w:val="24"/>
          <w:szCs w:val="24"/>
        </w:rPr>
        <w:t xml:space="preserve">a la audiencia preliminar </w:t>
      </w:r>
      <w:r w:rsidR="002D7A04" w:rsidRPr="00632F38">
        <w:rPr>
          <w:rFonts w:ascii="Arial" w:hAnsi="Arial" w:cs="Arial"/>
          <w:sz w:val="24"/>
          <w:szCs w:val="24"/>
        </w:rPr>
        <w:t>en forma</w:t>
      </w:r>
      <w:r w:rsidR="00AB7237" w:rsidRPr="00632F38">
        <w:rPr>
          <w:rFonts w:ascii="Arial" w:hAnsi="Arial" w:cs="Arial"/>
          <w:sz w:val="24"/>
          <w:szCs w:val="24"/>
        </w:rPr>
        <w:t xml:space="preserve"> personal, es decir que deben estar físicamente presentes al inicio y durante el desarrollo de la misma.</w:t>
      </w:r>
      <w:r w:rsidR="002D7A04" w:rsidRPr="00632F38">
        <w:rPr>
          <w:rFonts w:ascii="Arial" w:hAnsi="Arial" w:cs="Arial"/>
          <w:sz w:val="24"/>
          <w:szCs w:val="24"/>
        </w:rPr>
        <w:t xml:space="preserve"> Como sabemos, estos sujetos se encuentran en la situación jurídica </w:t>
      </w:r>
      <w:r w:rsidR="008F5128" w:rsidRPr="00632F38">
        <w:rPr>
          <w:rFonts w:ascii="Arial" w:hAnsi="Arial" w:cs="Arial"/>
          <w:sz w:val="24"/>
          <w:szCs w:val="24"/>
        </w:rPr>
        <w:t>de carga, porque si bien el sujeto no tiene la obligación de comparecer, la ley prevé la aplicación de consecuencias perjudiciales para él, en caso de que no lo haga.</w:t>
      </w:r>
    </w:p>
    <w:p w:rsidR="00F06F66" w:rsidRPr="00632F38" w:rsidRDefault="00690B9D" w:rsidP="00460C6C">
      <w:pPr>
        <w:spacing w:line="360" w:lineRule="auto"/>
        <w:jc w:val="both"/>
        <w:rPr>
          <w:rFonts w:ascii="Arial" w:hAnsi="Arial" w:cs="Arial"/>
          <w:sz w:val="24"/>
          <w:szCs w:val="24"/>
        </w:rPr>
      </w:pPr>
      <w:r w:rsidRPr="00632F38">
        <w:rPr>
          <w:rFonts w:ascii="Arial" w:hAnsi="Arial" w:cs="Arial"/>
          <w:sz w:val="24"/>
          <w:szCs w:val="24"/>
        </w:rPr>
        <w:t xml:space="preserve">Sin embargo, la misma disposición establece una excepción a lo recién expuesto. Nos dice que la comparecencia personal de las personas físicas capaces puede no ser necesaria, pudiendo estas comparecer mediante representante, </w:t>
      </w:r>
      <w:r w:rsidR="0061539A">
        <w:rPr>
          <w:rFonts w:ascii="Arial" w:hAnsi="Arial" w:cs="Arial"/>
          <w:sz w:val="24"/>
          <w:szCs w:val="24"/>
        </w:rPr>
        <w:t>siempre que</w:t>
      </w:r>
      <w:r w:rsidRPr="00632F38">
        <w:rPr>
          <w:rFonts w:ascii="Arial" w:hAnsi="Arial" w:cs="Arial"/>
          <w:sz w:val="24"/>
          <w:szCs w:val="24"/>
        </w:rPr>
        <w:t xml:space="preserve"> exista motivo fundado para ello, a juicio del tribunal.</w:t>
      </w:r>
      <w:r w:rsidR="00F62FA5" w:rsidRPr="00632F38">
        <w:rPr>
          <w:rFonts w:ascii="Arial" w:hAnsi="Arial" w:cs="Arial"/>
          <w:sz w:val="24"/>
          <w:szCs w:val="24"/>
        </w:rPr>
        <w:t xml:space="preserve"> </w:t>
      </w:r>
      <w:r w:rsidR="00A427E3" w:rsidRPr="00632F38">
        <w:rPr>
          <w:rFonts w:ascii="Arial" w:hAnsi="Arial" w:cs="Arial"/>
          <w:sz w:val="24"/>
          <w:szCs w:val="24"/>
        </w:rPr>
        <w:t>La Ley 19</w:t>
      </w:r>
      <w:r w:rsidR="00F06F66" w:rsidRPr="00632F38">
        <w:rPr>
          <w:rFonts w:ascii="Arial" w:hAnsi="Arial" w:cs="Arial"/>
          <w:sz w:val="24"/>
          <w:szCs w:val="24"/>
        </w:rPr>
        <w:t>.</w:t>
      </w:r>
      <w:r w:rsidR="00CE7AED" w:rsidRPr="00632F38">
        <w:rPr>
          <w:rFonts w:ascii="Arial" w:hAnsi="Arial" w:cs="Arial"/>
          <w:sz w:val="24"/>
          <w:szCs w:val="24"/>
        </w:rPr>
        <w:t>090 no introdujo</w:t>
      </w:r>
      <w:r w:rsidR="00A427E3" w:rsidRPr="00632F38">
        <w:rPr>
          <w:rFonts w:ascii="Arial" w:hAnsi="Arial" w:cs="Arial"/>
          <w:sz w:val="24"/>
          <w:szCs w:val="24"/>
        </w:rPr>
        <w:t xml:space="preserve"> modificación alguna respecto a este punto.</w:t>
      </w:r>
    </w:p>
    <w:p w:rsidR="00075F68" w:rsidRPr="00632F38" w:rsidRDefault="0033732E" w:rsidP="00460C6C">
      <w:pPr>
        <w:spacing w:line="360" w:lineRule="auto"/>
        <w:jc w:val="both"/>
        <w:rPr>
          <w:rFonts w:ascii="Arial" w:hAnsi="Arial" w:cs="Arial"/>
          <w:sz w:val="24"/>
          <w:szCs w:val="24"/>
        </w:rPr>
      </w:pPr>
      <w:r w:rsidRPr="00632F38">
        <w:rPr>
          <w:rFonts w:ascii="Arial" w:hAnsi="Arial" w:cs="Arial"/>
          <w:sz w:val="24"/>
          <w:szCs w:val="24"/>
        </w:rPr>
        <w:t>En cuanto a</w:t>
      </w:r>
      <w:r w:rsidR="00571099" w:rsidRPr="00632F38">
        <w:rPr>
          <w:rFonts w:ascii="Arial" w:hAnsi="Arial" w:cs="Arial"/>
          <w:sz w:val="24"/>
          <w:szCs w:val="24"/>
        </w:rPr>
        <w:t xml:space="preserve"> lo que respecta a las personas físicas incapaces y a las personas jurídicas, </w:t>
      </w:r>
      <w:r w:rsidRPr="00632F38">
        <w:rPr>
          <w:rFonts w:ascii="Arial" w:hAnsi="Arial" w:cs="Arial"/>
          <w:sz w:val="24"/>
          <w:szCs w:val="24"/>
        </w:rPr>
        <w:t>como dijimos anteriormente, el ordinal 1 de</w:t>
      </w:r>
      <w:r w:rsidR="00FD661F" w:rsidRPr="00632F38">
        <w:rPr>
          <w:rFonts w:ascii="Arial" w:hAnsi="Arial" w:cs="Arial"/>
          <w:sz w:val="24"/>
          <w:szCs w:val="24"/>
        </w:rPr>
        <w:t>l art 340 del C.G.P. nos da un</w:t>
      </w:r>
      <w:r w:rsidRPr="00632F38">
        <w:rPr>
          <w:rFonts w:ascii="Arial" w:hAnsi="Arial" w:cs="Arial"/>
          <w:sz w:val="24"/>
          <w:szCs w:val="24"/>
        </w:rPr>
        <w:t xml:space="preserve"> régimen diferente</w:t>
      </w:r>
      <w:r w:rsidR="00FD661F" w:rsidRPr="00632F38">
        <w:rPr>
          <w:rFonts w:ascii="Arial" w:hAnsi="Arial" w:cs="Arial"/>
          <w:sz w:val="24"/>
          <w:szCs w:val="24"/>
        </w:rPr>
        <w:t xml:space="preserve"> al aplicable para</w:t>
      </w:r>
      <w:r w:rsidRPr="00632F38">
        <w:rPr>
          <w:rFonts w:ascii="Arial" w:hAnsi="Arial" w:cs="Arial"/>
          <w:sz w:val="24"/>
          <w:szCs w:val="24"/>
        </w:rPr>
        <w:t xml:space="preserve"> las personas físicas capaces.</w:t>
      </w:r>
      <w:r w:rsidR="00496A08" w:rsidRPr="00632F38">
        <w:rPr>
          <w:rFonts w:ascii="Arial" w:hAnsi="Arial" w:cs="Arial"/>
          <w:sz w:val="24"/>
          <w:szCs w:val="24"/>
        </w:rPr>
        <w:t xml:space="preserve"> </w:t>
      </w:r>
    </w:p>
    <w:p w:rsidR="005E6C9D" w:rsidRPr="00632F38" w:rsidRDefault="00075F68" w:rsidP="00460C6C">
      <w:pPr>
        <w:spacing w:line="360" w:lineRule="auto"/>
        <w:jc w:val="both"/>
        <w:rPr>
          <w:rFonts w:ascii="Arial" w:hAnsi="Arial" w:cs="Arial"/>
          <w:sz w:val="24"/>
          <w:szCs w:val="24"/>
        </w:rPr>
      </w:pPr>
      <w:r w:rsidRPr="00632F38">
        <w:rPr>
          <w:rFonts w:ascii="Arial" w:hAnsi="Arial" w:cs="Arial"/>
          <w:sz w:val="24"/>
          <w:szCs w:val="24"/>
        </w:rPr>
        <w:t>Las personas físicas incapaces y las personas jurídicas</w:t>
      </w:r>
      <w:r w:rsidR="00496A08" w:rsidRPr="00632F38">
        <w:rPr>
          <w:rFonts w:ascii="Arial" w:hAnsi="Arial" w:cs="Arial"/>
          <w:sz w:val="24"/>
          <w:szCs w:val="24"/>
        </w:rPr>
        <w:t xml:space="preserve">, </w:t>
      </w:r>
      <w:r w:rsidRPr="00632F38">
        <w:rPr>
          <w:rFonts w:ascii="Arial" w:hAnsi="Arial" w:cs="Arial"/>
          <w:sz w:val="24"/>
          <w:szCs w:val="24"/>
        </w:rPr>
        <w:t>debido a</w:t>
      </w:r>
      <w:r w:rsidR="00496A08" w:rsidRPr="00632F38">
        <w:rPr>
          <w:rFonts w:ascii="Arial" w:hAnsi="Arial" w:cs="Arial"/>
          <w:sz w:val="24"/>
          <w:szCs w:val="24"/>
        </w:rPr>
        <w:t xml:space="preserve"> su naturaleza, deben siempre comparecer a través de sus representantes.</w:t>
      </w:r>
      <w:r w:rsidRPr="00632F38">
        <w:rPr>
          <w:rFonts w:ascii="Arial" w:hAnsi="Arial" w:cs="Arial"/>
          <w:sz w:val="24"/>
          <w:szCs w:val="24"/>
        </w:rPr>
        <w:t xml:space="preserve"> Como puede apreciarse, aquí la regla general y única es la comparecencia a través de representantes, mientras que para las personas físicas capaces, como ya vimos, la comparecencia a través de representantes es la excepción.</w:t>
      </w:r>
      <w:r w:rsidR="005E6C9D" w:rsidRPr="00632F38">
        <w:rPr>
          <w:rFonts w:ascii="Arial" w:hAnsi="Arial" w:cs="Arial"/>
          <w:sz w:val="24"/>
          <w:szCs w:val="24"/>
        </w:rPr>
        <w:t xml:space="preserve"> </w:t>
      </w:r>
      <w:r w:rsidR="00E20B9F" w:rsidRPr="00632F38">
        <w:rPr>
          <w:rFonts w:ascii="Arial" w:hAnsi="Arial" w:cs="Arial"/>
          <w:sz w:val="24"/>
          <w:szCs w:val="24"/>
        </w:rPr>
        <w:t xml:space="preserve">Tampoco </w:t>
      </w:r>
      <w:r w:rsidR="005E6C9D" w:rsidRPr="00632F38">
        <w:rPr>
          <w:rFonts w:ascii="Arial" w:hAnsi="Arial" w:cs="Arial"/>
          <w:sz w:val="24"/>
          <w:szCs w:val="24"/>
        </w:rPr>
        <w:t>hubo</w:t>
      </w:r>
      <w:r w:rsidR="00E20B9F" w:rsidRPr="00632F38">
        <w:rPr>
          <w:rFonts w:ascii="Arial" w:hAnsi="Arial" w:cs="Arial"/>
          <w:sz w:val="24"/>
          <w:szCs w:val="24"/>
        </w:rPr>
        <w:t xml:space="preserve"> variaciones en esto con la Ley 19.090.</w:t>
      </w:r>
    </w:p>
    <w:p w:rsidR="00A878E0" w:rsidRDefault="00A878E0" w:rsidP="00A878E0">
      <w:pPr>
        <w:spacing w:line="360" w:lineRule="auto"/>
        <w:jc w:val="both"/>
        <w:rPr>
          <w:rFonts w:ascii="Arial" w:hAnsi="Arial" w:cs="Arial"/>
          <w:b/>
          <w:sz w:val="24"/>
          <w:szCs w:val="24"/>
          <w:u w:val="single"/>
        </w:rPr>
      </w:pPr>
    </w:p>
    <w:p w:rsidR="00FD0EF3" w:rsidRPr="00A878E0" w:rsidRDefault="00FD0EF3" w:rsidP="00A878E0">
      <w:pPr>
        <w:spacing w:line="360" w:lineRule="auto"/>
        <w:ind w:firstLine="708"/>
        <w:jc w:val="both"/>
        <w:rPr>
          <w:rFonts w:ascii="Arial" w:hAnsi="Arial" w:cs="Arial"/>
          <w:sz w:val="24"/>
          <w:szCs w:val="24"/>
        </w:rPr>
      </w:pPr>
      <w:r w:rsidRPr="00A878E0">
        <w:rPr>
          <w:rFonts w:ascii="Arial" w:hAnsi="Arial" w:cs="Arial"/>
          <w:b/>
          <w:sz w:val="24"/>
          <w:szCs w:val="24"/>
        </w:rPr>
        <w:t xml:space="preserve">2.2 Diferimiento </w:t>
      </w:r>
    </w:p>
    <w:p w:rsidR="002371BE" w:rsidRPr="00632F38" w:rsidRDefault="00E91DDA" w:rsidP="00460C6C">
      <w:pPr>
        <w:spacing w:line="360" w:lineRule="auto"/>
        <w:jc w:val="both"/>
        <w:rPr>
          <w:rFonts w:ascii="Arial" w:hAnsi="Arial" w:cs="Arial"/>
          <w:sz w:val="24"/>
          <w:szCs w:val="24"/>
        </w:rPr>
      </w:pPr>
      <w:r w:rsidRPr="00632F38">
        <w:rPr>
          <w:rFonts w:ascii="Arial" w:hAnsi="Arial" w:cs="Arial"/>
          <w:sz w:val="24"/>
          <w:szCs w:val="24"/>
        </w:rPr>
        <w:t>El artículo 340.1 del C.G.P. prosigue su redacción de esta manera: “Si por razones de fuerza mayor, debidamente acreditadas, una de las partes no pudiere comparecer, la audiencia podrá diferirse por una sola vez.”</w:t>
      </w:r>
      <w:r w:rsidR="00636A44" w:rsidRPr="00632F38">
        <w:rPr>
          <w:rFonts w:ascii="Arial" w:hAnsi="Arial" w:cs="Arial"/>
          <w:sz w:val="24"/>
          <w:szCs w:val="24"/>
        </w:rPr>
        <w:t xml:space="preserve"> </w:t>
      </w:r>
    </w:p>
    <w:p w:rsidR="00FA5CD0" w:rsidRPr="00632F38" w:rsidRDefault="000D6D15" w:rsidP="00460C6C">
      <w:pPr>
        <w:spacing w:line="360" w:lineRule="auto"/>
        <w:jc w:val="both"/>
        <w:rPr>
          <w:rFonts w:ascii="Arial" w:hAnsi="Arial" w:cs="Arial"/>
          <w:sz w:val="24"/>
          <w:szCs w:val="24"/>
        </w:rPr>
      </w:pPr>
      <w:r w:rsidRPr="00632F38">
        <w:rPr>
          <w:rFonts w:ascii="Arial" w:hAnsi="Arial" w:cs="Arial"/>
          <w:sz w:val="24"/>
          <w:szCs w:val="24"/>
        </w:rPr>
        <w:t>Esta solución no ha variado</w:t>
      </w:r>
      <w:r w:rsidR="00636A44" w:rsidRPr="00632F38">
        <w:rPr>
          <w:rFonts w:ascii="Arial" w:hAnsi="Arial" w:cs="Arial"/>
          <w:sz w:val="24"/>
          <w:szCs w:val="24"/>
        </w:rPr>
        <w:t xml:space="preserve"> con respecto a la redacción anterior</w:t>
      </w:r>
      <w:r w:rsidR="002371BE" w:rsidRPr="00632F38">
        <w:rPr>
          <w:rFonts w:ascii="Arial" w:hAnsi="Arial" w:cs="Arial"/>
          <w:sz w:val="24"/>
          <w:szCs w:val="24"/>
        </w:rPr>
        <w:t xml:space="preserve"> a la Ley 19.090.</w:t>
      </w:r>
      <w:r w:rsidR="00636A44" w:rsidRPr="00632F38">
        <w:rPr>
          <w:rFonts w:ascii="Arial" w:hAnsi="Arial" w:cs="Arial"/>
          <w:sz w:val="24"/>
          <w:szCs w:val="24"/>
        </w:rPr>
        <w:t xml:space="preserve"> Las partes</w:t>
      </w:r>
      <w:r w:rsidR="002371BE" w:rsidRPr="00632F38">
        <w:rPr>
          <w:rFonts w:ascii="Arial" w:hAnsi="Arial" w:cs="Arial"/>
          <w:sz w:val="24"/>
          <w:szCs w:val="24"/>
        </w:rPr>
        <w:t>,</w:t>
      </w:r>
      <w:r w:rsidR="00636A44" w:rsidRPr="00632F38">
        <w:rPr>
          <w:rFonts w:ascii="Arial" w:hAnsi="Arial" w:cs="Arial"/>
          <w:sz w:val="24"/>
          <w:szCs w:val="24"/>
        </w:rPr>
        <w:t xml:space="preserve"> al igual que en el sistema anterior</w:t>
      </w:r>
      <w:r w:rsidR="002371BE" w:rsidRPr="00632F38">
        <w:rPr>
          <w:rFonts w:ascii="Arial" w:hAnsi="Arial" w:cs="Arial"/>
          <w:sz w:val="24"/>
          <w:szCs w:val="24"/>
        </w:rPr>
        <w:t>,</w:t>
      </w:r>
      <w:r w:rsidR="00636A44" w:rsidRPr="00632F38">
        <w:rPr>
          <w:rFonts w:ascii="Arial" w:hAnsi="Arial" w:cs="Arial"/>
          <w:sz w:val="24"/>
          <w:szCs w:val="24"/>
        </w:rPr>
        <w:t xml:space="preserve"> pueden</w:t>
      </w:r>
      <w:r w:rsidR="002371BE" w:rsidRPr="00632F38">
        <w:rPr>
          <w:rFonts w:ascii="Arial" w:hAnsi="Arial" w:cs="Arial"/>
          <w:sz w:val="24"/>
          <w:szCs w:val="24"/>
        </w:rPr>
        <w:t xml:space="preserve"> posponer en el tiempo la fecha en la que se realizara la audiencia preliminar, siempre que exista una razón de fuerza mayor debidamente acreditada que </w:t>
      </w:r>
      <w:r w:rsidRPr="00632F38">
        <w:rPr>
          <w:rFonts w:ascii="Arial" w:hAnsi="Arial" w:cs="Arial"/>
          <w:sz w:val="24"/>
          <w:szCs w:val="24"/>
        </w:rPr>
        <w:t>así</w:t>
      </w:r>
      <w:r w:rsidR="00FA5CD0" w:rsidRPr="00632F38">
        <w:rPr>
          <w:rFonts w:ascii="Arial" w:hAnsi="Arial" w:cs="Arial"/>
          <w:sz w:val="24"/>
          <w:szCs w:val="24"/>
        </w:rPr>
        <w:t xml:space="preserve"> lo amerite porque impide a la parte de comparecer.</w:t>
      </w:r>
      <w:r w:rsidR="002371BE" w:rsidRPr="00632F38">
        <w:rPr>
          <w:rFonts w:ascii="Arial" w:hAnsi="Arial" w:cs="Arial"/>
          <w:sz w:val="24"/>
          <w:szCs w:val="24"/>
        </w:rPr>
        <w:t xml:space="preserve"> </w:t>
      </w:r>
    </w:p>
    <w:p w:rsidR="00E91DDA" w:rsidRPr="00632F38" w:rsidRDefault="002371BE" w:rsidP="00460C6C">
      <w:pPr>
        <w:spacing w:line="360" w:lineRule="auto"/>
        <w:jc w:val="both"/>
        <w:rPr>
          <w:rFonts w:ascii="Arial" w:hAnsi="Arial" w:cs="Arial"/>
          <w:sz w:val="24"/>
          <w:szCs w:val="24"/>
        </w:rPr>
      </w:pPr>
      <w:r w:rsidRPr="00632F38">
        <w:rPr>
          <w:rFonts w:ascii="Arial" w:hAnsi="Arial" w:cs="Arial"/>
          <w:sz w:val="24"/>
          <w:szCs w:val="24"/>
        </w:rPr>
        <w:t xml:space="preserve">En cuanto a la posibilidad de diferirla “por una sola vez”, </w:t>
      </w:r>
      <w:r w:rsidR="0061539A">
        <w:rPr>
          <w:rFonts w:ascii="Arial" w:hAnsi="Arial" w:cs="Arial"/>
          <w:sz w:val="24"/>
          <w:szCs w:val="24"/>
        </w:rPr>
        <w:t>entiende la doctrina en general</w:t>
      </w:r>
      <w:r w:rsidR="000D6D15" w:rsidRPr="00632F38">
        <w:rPr>
          <w:rFonts w:ascii="Arial" w:hAnsi="Arial" w:cs="Arial"/>
          <w:sz w:val="24"/>
          <w:szCs w:val="24"/>
        </w:rPr>
        <w:t xml:space="preserve"> que </w:t>
      </w:r>
      <w:r w:rsidRPr="00632F38">
        <w:rPr>
          <w:rFonts w:ascii="Arial" w:hAnsi="Arial" w:cs="Arial"/>
          <w:sz w:val="24"/>
          <w:szCs w:val="24"/>
        </w:rPr>
        <w:t xml:space="preserve">debe entenderse esto en el sentido de que cada una de las partes dispone </w:t>
      </w:r>
      <w:r w:rsidRPr="00632F38">
        <w:rPr>
          <w:rFonts w:ascii="Arial" w:hAnsi="Arial" w:cs="Arial"/>
          <w:sz w:val="24"/>
          <w:szCs w:val="24"/>
        </w:rPr>
        <w:lastRenderedPageBreak/>
        <w:t>de una chance para reprogramar la audiencia</w:t>
      </w:r>
      <w:r w:rsidR="000D6D15" w:rsidRPr="00632F38">
        <w:rPr>
          <w:rFonts w:ascii="Arial" w:hAnsi="Arial" w:cs="Arial"/>
          <w:sz w:val="24"/>
          <w:szCs w:val="24"/>
        </w:rPr>
        <w:t xml:space="preserve"> preliminar</w:t>
      </w:r>
      <w:r w:rsidRPr="00632F38">
        <w:rPr>
          <w:rFonts w:ascii="Arial" w:hAnsi="Arial" w:cs="Arial"/>
          <w:sz w:val="24"/>
          <w:szCs w:val="24"/>
        </w:rPr>
        <w:t>. De esta manera, si la parte actora hace uso de dicha facultad y la audiencia es diferida, podría</w:t>
      </w:r>
      <w:r w:rsidR="00903488" w:rsidRPr="00632F38">
        <w:rPr>
          <w:rFonts w:ascii="Arial" w:hAnsi="Arial" w:cs="Arial"/>
          <w:sz w:val="24"/>
          <w:szCs w:val="24"/>
        </w:rPr>
        <w:t xml:space="preserve"> luego</w:t>
      </w:r>
      <w:r w:rsidRPr="00632F38">
        <w:rPr>
          <w:rFonts w:ascii="Arial" w:hAnsi="Arial" w:cs="Arial"/>
          <w:sz w:val="24"/>
          <w:szCs w:val="24"/>
        </w:rPr>
        <w:t xml:space="preserve"> </w:t>
      </w:r>
      <w:r w:rsidR="00903488" w:rsidRPr="00632F38">
        <w:rPr>
          <w:rFonts w:ascii="Arial" w:hAnsi="Arial" w:cs="Arial"/>
          <w:sz w:val="24"/>
          <w:szCs w:val="24"/>
        </w:rPr>
        <w:t>la parte demandada</w:t>
      </w:r>
      <w:r w:rsidR="000D6D15" w:rsidRPr="00632F38">
        <w:rPr>
          <w:rFonts w:ascii="Arial" w:hAnsi="Arial" w:cs="Arial"/>
          <w:sz w:val="24"/>
          <w:szCs w:val="24"/>
        </w:rPr>
        <w:t xml:space="preserve"> </w:t>
      </w:r>
      <w:r w:rsidRPr="00632F38">
        <w:rPr>
          <w:rFonts w:ascii="Arial" w:hAnsi="Arial" w:cs="Arial"/>
          <w:sz w:val="24"/>
          <w:szCs w:val="24"/>
        </w:rPr>
        <w:t>hacer lo mismo</w:t>
      </w:r>
      <w:r w:rsidR="000D6D15" w:rsidRPr="00632F38">
        <w:rPr>
          <w:rFonts w:ascii="Arial" w:hAnsi="Arial" w:cs="Arial"/>
          <w:sz w:val="24"/>
          <w:szCs w:val="24"/>
        </w:rPr>
        <w:t>, pudiendo entonces la audiencia ser diferida en un total de dos veces.</w:t>
      </w:r>
    </w:p>
    <w:p w:rsidR="00C96D19" w:rsidRPr="00632F38" w:rsidRDefault="00C96D19" w:rsidP="00460C6C">
      <w:pPr>
        <w:spacing w:line="360" w:lineRule="auto"/>
        <w:jc w:val="both"/>
        <w:rPr>
          <w:rFonts w:ascii="Arial" w:hAnsi="Arial" w:cs="Arial"/>
          <w:sz w:val="24"/>
          <w:szCs w:val="24"/>
        </w:rPr>
      </w:pPr>
      <w:r w:rsidRPr="00632F38">
        <w:rPr>
          <w:rFonts w:ascii="Arial" w:hAnsi="Arial" w:cs="Arial"/>
          <w:sz w:val="24"/>
          <w:szCs w:val="24"/>
        </w:rPr>
        <w:t xml:space="preserve">El </w:t>
      </w:r>
      <w:r w:rsidR="00624F93" w:rsidRPr="00632F38">
        <w:rPr>
          <w:rFonts w:ascii="Arial" w:hAnsi="Arial" w:cs="Arial"/>
          <w:sz w:val="24"/>
          <w:szCs w:val="24"/>
        </w:rPr>
        <w:t xml:space="preserve">actual </w:t>
      </w:r>
      <w:r w:rsidRPr="00632F38">
        <w:rPr>
          <w:rFonts w:ascii="Arial" w:hAnsi="Arial" w:cs="Arial"/>
          <w:sz w:val="24"/>
          <w:szCs w:val="24"/>
        </w:rPr>
        <w:t xml:space="preserve">ordinal 1° del </w:t>
      </w:r>
      <w:r w:rsidR="00624F93" w:rsidRPr="00632F38">
        <w:rPr>
          <w:rFonts w:ascii="Arial" w:hAnsi="Arial" w:cs="Arial"/>
          <w:sz w:val="24"/>
          <w:szCs w:val="24"/>
        </w:rPr>
        <w:t>artículo</w:t>
      </w:r>
      <w:r w:rsidRPr="00632F38">
        <w:rPr>
          <w:rFonts w:ascii="Arial" w:hAnsi="Arial" w:cs="Arial"/>
          <w:sz w:val="24"/>
          <w:szCs w:val="24"/>
        </w:rPr>
        <w:t xml:space="preserve"> 340 del C.G.P. finaliza diciendo: “En todo caso, la decisión que recaiga sobre la solicitud de nuevo señalamiento se tendrá por notificada el mismo día de su dictado.” Este texto se </w:t>
      </w:r>
      <w:r w:rsidR="00624F93" w:rsidRPr="00632F38">
        <w:rPr>
          <w:rFonts w:ascii="Arial" w:hAnsi="Arial" w:cs="Arial"/>
          <w:sz w:val="24"/>
          <w:szCs w:val="24"/>
        </w:rPr>
        <w:t>agregó</w:t>
      </w:r>
      <w:r w:rsidRPr="00632F38">
        <w:rPr>
          <w:rFonts w:ascii="Arial" w:hAnsi="Arial" w:cs="Arial"/>
          <w:sz w:val="24"/>
          <w:szCs w:val="24"/>
        </w:rPr>
        <w:t xml:space="preserve"> </w:t>
      </w:r>
      <w:r w:rsidR="00624F93" w:rsidRPr="00632F38">
        <w:rPr>
          <w:rFonts w:ascii="Arial" w:hAnsi="Arial" w:cs="Arial"/>
          <w:sz w:val="24"/>
          <w:szCs w:val="24"/>
        </w:rPr>
        <w:t>al sancionarse</w:t>
      </w:r>
      <w:r w:rsidRPr="00632F38">
        <w:rPr>
          <w:rFonts w:ascii="Arial" w:hAnsi="Arial" w:cs="Arial"/>
          <w:sz w:val="24"/>
          <w:szCs w:val="24"/>
        </w:rPr>
        <w:t xml:space="preserve"> la Ley 19.090. Lo que se </w:t>
      </w:r>
      <w:r w:rsidR="00624F93" w:rsidRPr="00632F38">
        <w:rPr>
          <w:rFonts w:ascii="Arial" w:hAnsi="Arial" w:cs="Arial"/>
          <w:sz w:val="24"/>
          <w:szCs w:val="24"/>
        </w:rPr>
        <w:t>estableció</w:t>
      </w:r>
      <w:r w:rsidRPr="00632F38">
        <w:rPr>
          <w:rFonts w:ascii="Arial" w:hAnsi="Arial" w:cs="Arial"/>
          <w:sz w:val="24"/>
          <w:szCs w:val="24"/>
        </w:rPr>
        <w:t xml:space="preserve"> aquí es una notificación automática de la providencia que resuelve</w:t>
      </w:r>
      <w:r w:rsidR="00624F93" w:rsidRPr="00632F38">
        <w:rPr>
          <w:rFonts w:ascii="Arial" w:hAnsi="Arial" w:cs="Arial"/>
          <w:sz w:val="24"/>
          <w:szCs w:val="24"/>
        </w:rPr>
        <w:t xml:space="preserve"> sobre</w:t>
      </w:r>
      <w:r w:rsidRPr="00632F38">
        <w:rPr>
          <w:rFonts w:ascii="Arial" w:hAnsi="Arial" w:cs="Arial"/>
          <w:sz w:val="24"/>
          <w:szCs w:val="24"/>
        </w:rPr>
        <w:t xml:space="preserve"> la solicitud de dar nueva </w:t>
      </w:r>
      <w:r w:rsidR="00624F93" w:rsidRPr="00632F38">
        <w:rPr>
          <w:rFonts w:ascii="Arial" w:hAnsi="Arial" w:cs="Arial"/>
          <w:sz w:val="24"/>
          <w:szCs w:val="24"/>
        </w:rPr>
        <w:t>fecha a la audiencia preliminar, de la cual ya hablamos en los párrafos anteriores.</w:t>
      </w:r>
    </w:p>
    <w:p w:rsidR="007D1C99" w:rsidRPr="00632F38" w:rsidRDefault="007D1C99" w:rsidP="00460C6C">
      <w:pPr>
        <w:spacing w:line="360" w:lineRule="auto"/>
        <w:jc w:val="both"/>
        <w:rPr>
          <w:rFonts w:ascii="Arial" w:hAnsi="Arial" w:cs="Arial"/>
          <w:sz w:val="24"/>
          <w:szCs w:val="24"/>
        </w:rPr>
      </w:pPr>
      <w:r w:rsidRPr="00632F38">
        <w:rPr>
          <w:rFonts w:ascii="Arial" w:hAnsi="Arial" w:cs="Arial"/>
          <w:sz w:val="24"/>
          <w:szCs w:val="24"/>
        </w:rPr>
        <w:t xml:space="preserve">En este punto, compartimos </w:t>
      </w:r>
      <w:r w:rsidR="006C0817" w:rsidRPr="00632F38">
        <w:rPr>
          <w:rFonts w:ascii="Arial" w:hAnsi="Arial" w:cs="Arial"/>
          <w:sz w:val="24"/>
          <w:szCs w:val="24"/>
        </w:rPr>
        <w:t>la postura de</w:t>
      </w:r>
      <w:r w:rsidRPr="00632F38">
        <w:rPr>
          <w:rFonts w:ascii="Arial" w:hAnsi="Arial" w:cs="Arial"/>
          <w:sz w:val="24"/>
          <w:szCs w:val="24"/>
        </w:rPr>
        <w:t xml:space="preserve"> VALENTIN</w:t>
      </w:r>
      <w:r w:rsidR="00886B8C">
        <w:rPr>
          <w:rStyle w:val="Refdenotaalpie"/>
          <w:rFonts w:ascii="Arial" w:hAnsi="Arial" w:cs="Arial"/>
          <w:sz w:val="24"/>
          <w:szCs w:val="24"/>
        </w:rPr>
        <w:footnoteReference w:id="1"/>
      </w:r>
      <w:r w:rsidR="00FD2A05">
        <w:rPr>
          <w:rFonts w:ascii="Arial" w:hAnsi="Arial" w:cs="Arial"/>
          <w:sz w:val="24"/>
          <w:szCs w:val="24"/>
        </w:rPr>
        <w:t>.</w:t>
      </w:r>
      <w:r w:rsidR="00DE48AC" w:rsidRPr="00632F38">
        <w:rPr>
          <w:rFonts w:ascii="Arial" w:hAnsi="Arial" w:cs="Arial"/>
          <w:sz w:val="24"/>
          <w:szCs w:val="24"/>
        </w:rPr>
        <w:t xml:space="preserve"> Esta notificación automática que introdujo la reforma del C.G.P., a través de la Ley 19.090 puede llevar a situaciones que resulten injustas </w:t>
      </w:r>
      <w:r w:rsidR="006C0817" w:rsidRPr="00632F38">
        <w:rPr>
          <w:rFonts w:ascii="Arial" w:hAnsi="Arial" w:cs="Arial"/>
          <w:sz w:val="24"/>
          <w:szCs w:val="24"/>
        </w:rPr>
        <w:t xml:space="preserve">y violatorias del principio constitucional del debido proceso. </w:t>
      </w:r>
      <w:r w:rsidR="00D12906" w:rsidRPr="00632F38">
        <w:rPr>
          <w:rFonts w:ascii="Arial" w:hAnsi="Arial" w:cs="Arial"/>
          <w:sz w:val="24"/>
          <w:szCs w:val="24"/>
        </w:rPr>
        <w:t xml:space="preserve">Utilizaremos </w:t>
      </w:r>
      <w:r w:rsidR="00DF15E5" w:rsidRPr="00632F38">
        <w:rPr>
          <w:rFonts w:ascii="Arial" w:hAnsi="Arial" w:cs="Arial"/>
          <w:sz w:val="24"/>
          <w:szCs w:val="24"/>
        </w:rPr>
        <w:t xml:space="preserve">a continuación </w:t>
      </w:r>
      <w:r w:rsidR="00D12906" w:rsidRPr="00632F38">
        <w:rPr>
          <w:rFonts w:ascii="Arial" w:hAnsi="Arial" w:cs="Arial"/>
          <w:sz w:val="24"/>
          <w:szCs w:val="24"/>
        </w:rPr>
        <w:t xml:space="preserve">el mismo ejemplo del </w:t>
      </w:r>
      <w:r w:rsidR="00DF15E5" w:rsidRPr="00632F38">
        <w:rPr>
          <w:rFonts w:ascii="Arial" w:hAnsi="Arial" w:cs="Arial"/>
          <w:sz w:val="24"/>
          <w:szCs w:val="24"/>
        </w:rPr>
        <w:t>cual el</w:t>
      </w:r>
      <w:r w:rsidR="00886B8C">
        <w:rPr>
          <w:rFonts w:ascii="Arial" w:hAnsi="Arial" w:cs="Arial"/>
          <w:sz w:val="24"/>
          <w:szCs w:val="24"/>
        </w:rPr>
        <w:t xml:space="preserve"> autor se vale</w:t>
      </w:r>
      <w:r w:rsidR="00D12906" w:rsidRPr="00632F38">
        <w:rPr>
          <w:rFonts w:ascii="Arial" w:hAnsi="Arial" w:cs="Arial"/>
          <w:sz w:val="24"/>
          <w:szCs w:val="24"/>
        </w:rPr>
        <w:t xml:space="preserve"> para evidenciar la</w:t>
      </w:r>
      <w:r w:rsidR="00DF15E5" w:rsidRPr="00632F38">
        <w:rPr>
          <w:rFonts w:ascii="Arial" w:hAnsi="Arial" w:cs="Arial"/>
          <w:sz w:val="24"/>
          <w:szCs w:val="24"/>
        </w:rPr>
        <w:t>s posibles situaciones injustas a las que puede dar lugar el actual texto del C.G.P.</w:t>
      </w:r>
    </w:p>
    <w:p w:rsidR="009435FD" w:rsidRPr="00632F38" w:rsidRDefault="009435FD" w:rsidP="00460C6C">
      <w:pPr>
        <w:spacing w:line="360" w:lineRule="auto"/>
        <w:jc w:val="both"/>
        <w:rPr>
          <w:rFonts w:ascii="Arial" w:hAnsi="Arial" w:cs="Arial"/>
          <w:sz w:val="24"/>
          <w:szCs w:val="24"/>
        </w:rPr>
      </w:pPr>
      <w:r w:rsidRPr="00632F38">
        <w:rPr>
          <w:rFonts w:ascii="Arial" w:hAnsi="Arial" w:cs="Arial"/>
          <w:sz w:val="24"/>
          <w:szCs w:val="24"/>
        </w:rPr>
        <w:t xml:space="preserve">Imaginemos que en el </w:t>
      </w:r>
      <w:r w:rsidR="009273BD" w:rsidRPr="00632F38">
        <w:rPr>
          <w:rFonts w:ascii="Arial" w:hAnsi="Arial" w:cs="Arial"/>
          <w:sz w:val="24"/>
          <w:szCs w:val="24"/>
        </w:rPr>
        <w:t>día</w:t>
      </w:r>
      <w:r w:rsidRPr="00632F38">
        <w:rPr>
          <w:rFonts w:ascii="Arial" w:hAnsi="Arial" w:cs="Arial"/>
          <w:sz w:val="24"/>
          <w:szCs w:val="24"/>
        </w:rPr>
        <w:t xml:space="preserve"> en que se celebra la audiencia </w:t>
      </w:r>
      <w:r w:rsidR="00A929A9" w:rsidRPr="00632F38">
        <w:rPr>
          <w:rFonts w:ascii="Arial" w:hAnsi="Arial" w:cs="Arial"/>
          <w:sz w:val="24"/>
          <w:szCs w:val="24"/>
        </w:rPr>
        <w:t>preliminar</w:t>
      </w:r>
      <w:r w:rsidRPr="00632F38">
        <w:rPr>
          <w:rFonts w:ascii="Arial" w:hAnsi="Arial" w:cs="Arial"/>
          <w:sz w:val="24"/>
          <w:szCs w:val="24"/>
        </w:rPr>
        <w:t>, la parte actora tiene un accidente de camino al juzgado. Esta avisa a su abogado y le hace llegar el comprobante del siniestro y de su imposibilidad de comparecer. El abogado haciendo uso de la representación judicial (artículo 44 del C.G.P.), presenta un escrito en el que pide el diferimiento de la audiencia debido a una razón de fuerza mayor debidamente acreditada. Si el juez no hiciere l</w:t>
      </w:r>
      <w:r w:rsidR="009273BD" w:rsidRPr="00632F38">
        <w:rPr>
          <w:rFonts w:ascii="Arial" w:hAnsi="Arial" w:cs="Arial"/>
          <w:sz w:val="24"/>
          <w:szCs w:val="24"/>
        </w:rPr>
        <w:t>ugar al diferimiento solicitado</w:t>
      </w:r>
      <w:r w:rsidRPr="00632F38">
        <w:rPr>
          <w:rFonts w:ascii="Arial" w:hAnsi="Arial" w:cs="Arial"/>
          <w:sz w:val="24"/>
          <w:szCs w:val="24"/>
        </w:rPr>
        <w:t xml:space="preserve"> </w:t>
      </w:r>
      <w:r w:rsidR="009273BD" w:rsidRPr="00632F38">
        <w:rPr>
          <w:rFonts w:ascii="Arial" w:hAnsi="Arial" w:cs="Arial"/>
          <w:sz w:val="24"/>
          <w:szCs w:val="24"/>
        </w:rPr>
        <w:t>(</w:t>
      </w:r>
      <w:r w:rsidRPr="00632F38">
        <w:rPr>
          <w:rFonts w:ascii="Arial" w:hAnsi="Arial" w:cs="Arial"/>
          <w:sz w:val="24"/>
          <w:szCs w:val="24"/>
        </w:rPr>
        <w:t>por ejemplo, porqu</w:t>
      </w:r>
      <w:r w:rsidR="009273BD" w:rsidRPr="00632F38">
        <w:rPr>
          <w:rFonts w:ascii="Arial" w:hAnsi="Arial" w:cs="Arial"/>
          <w:sz w:val="24"/>
          <w:szCs w:val="24"/>
        </w:rPr>
        <w:t>e no considera probado el hecho de</w:t>
      </w:r>
      <w:r w:rsidRPr="00632F38">
        <w:rPr>
          <w:rFonts w:ascii="Arial" w:hAnsi="Arial" w:cs="Arial"/>
          <w:sz w:val="24"/>
          <w:szCs w:val="24"/>
        </w:rPr>
        <w:t xml:space="preserve"> fuerza mayor</w:t>
      </w:r>
      <w:r w:rsidR="009273BD" w:rsidRPr="00632F38">
        <w:rPr>
          <w:rFonts w:ascii="Arial" w:hAnsi="Arial" w:cs="Arial"/>
          <w:sz w:val="24"/>
          <w:szCs w:val="24"/>
        </w:rPr>
        <w:t>)</w:t>
      </w:r>
      <w:r w:rsidRPr="00632F38">
        <w:rPr>
          <w:rFonts w:ascii="Arial" w:hAnsi="Arial" w:cs="Arial"/>
          <w:sz w:val="24"/>
          <w:szCs w:val="24"/>
        </w:rPr>
        <w:t>, esa providencia queda notificada en el mismo acto, la audiencia se realizaría</w:t>
      </w:r>
      <w:r w:rsidR="009273BD" w:rsidRPr="00632F38">
        <w:rPr>
          <w:rFonts w:ascii="Arial" w:hAnsi="Arial" w:cs="Arial"/>
          <w:sz w:val="24"/>
          <w:szCs w:val="24"/>
        </w:rPr>
        <w:t xml:space="preserve"> igualmente ese mismo día</w:t>
      </w:r>
      <w:r w:rsidRPr="00632F38">
        <w:rPr>
          <w:rFonts w:ascii="Arial" w:hAnsi="Arial" w:cs="Arial"/>
          <w:sz w:val="24"/>
          <w:szCs w:val="24"/>
        </w:rPr>
        <w:t xml:space="preserve"> y, al no comparecer la parte actora, se le aplicaría la consecuencia del </w:t>
      </w:r>
      <w:r w:rsidR="00A929A9" w:rsidRPr="00632F38">
        <w:rPr>
          <w:rFonts w:ascii="Arial" w:hAnsi="Arial" w:cs="Arial"/>
          <w:sz w:val="24"/>
          <w:szCs w:val="24"/>
        </w:rPr>
        <w:t>artículo</w:t>
      </w:r>
      <w:r w:rsidRPr="00632F38">
        <w:rPr>
          <w:rFonts w:ascii="Arial" w:hAnsi="Arial" w:cs="Arial"/>
          <w:sz w:val="24"/>
          <w:szCs w:val="24"/>
        </w:rPr>
        <w:t xml:space="preserve"> 340.2 del C.G.P.</w:t>
      </w:r>
    </w:p>
    <w:p w:rsidR="00E503B7" w:rsidRPr="00632F38" w:rsidRDefault="00886B8C" w:rsidP="00460C6C">
      <w:pPr>
        <w:spacing w:line="360" w:lineRule="auto"/>
        <w:jc w:val="both"/>
        <w:rPr>
          <w:rFonts w:ascii="Arial" w:hAnsi="Arial" w:cs="Arial"/>
          <w:sz w:val="24"/>
          <w:szCs w:val="24"/>
        </w:rPr>
      </w:pPr>
      <w:r>
        <w:rPr>
          <w:rFonts w:ascii="Arial" w:hAnsi="Arial" w:cs="Arial"/>
          <w:sz w:val="24"/>
          <w:szCs w:val="24"/>
        </w:rPr>
        <w:t>De esta manera, VALENTIN</w:t>
      </w:r>
      <w:r>
        <w:rPr>
          <w:rStyle w:val="Refdenotaalpie"/>
          <w:rFonts w:ascii="Arial" w:hAnsi="Arial" w:cs="Arial"/>
          <w:sz w:val="24"/>
          <w:szCs w:val="24"/>
        </w:rPr>
        <w:footnoteReference w:id="2"/>
      </w:r>
      <w:r w:rsidR="00B52B49">
        <w:rPr>
          <w:rFonts w:ascii="Arial" w:hAnsi="Arial" w:cs="Arial"/>
          <w:sz w:val="24"/>
          <w:szCs w:val="24"/>
        </w:rPr>
        <w:t xml:space="preserve"> </w:t>
      </w:r>
      <w:r w:rsidR="00E503B7" w:rsidRPr="00632F38">
        <w:rPr>
          <w:rFonts w:ascii="Arial" w:hAnsi="Arial" w:cs="Arial"/>
          <w:sz w:val="24"/>
          <w:szCs w:val="24"/>
        </w:rPr>
        <w:t xml:space="preserve">nos dice </w:t>
      </w:r>
      <w:r w:rsidR="008D285E" w:rsidRPr="00632F38">
        <w:rPr>
          <w:rFonts w:ascii="Arial" w:hAnsi="Arial" w:cs="Arial"/>
          <w:sz w:val="24"/>
          <w:szCs w:val="24"/>
        </w:rPr>
        <w:t>que la consagración de una solución tan dura no era necesaria. La</w:t>
      </w:r>
      <w:r w:rsidR="00E503B7" w:rsidRPr="00632F38">
        <w:rPr>
          <w:rFonts w:ascii="Arial" w:hAnsi="Arial" w:cs="Arial"/>
          <w:sz w:val="24"/>
          <w:szCs w:val="24"/>
        </w:rPr>
        <w:t xml:space="preserve"> norma lo que intenta es evitar la presentación de escritos a pocas horas de la audiencia pidiendo su diferimiento, lo que en el régimen anterior a la Ley </w:t>
      </w:r>
      <w:r w:rsidR="00E503B7" w:rsidRPr="00632F38">
        <w:rPr>
          <w:rFonts w:ascii="Arial" w:hAnsi="Arial" w:cs="Arial"/>
          <w:sz w:val="24"/>
          <w:szCs w:val="24"/>
        </w:rPr>
        <w:lastRenderedPageBreak/>
        <w:t xml:space="preserve">19.090 determinaba que se debiera dictar una sentencia interlocutoria y notificarla a domicilio, lo cual en los hechos </w:t>
      </w:r>
      <w:r w:rsidR="008D285E" w:rsidRPr="00632F38">
        <w:rPr>
          <w:rFonts w:ascii="Arial" w:hAnsi="Arial" w:cs="Arial"/>
          <w:sz w:val="24"/>
          <w:szCs w:val="24"/>
        </w:rPr>
        <w:t>impedía</w:t>
      </w:r>
      <w:r w:rsidR="00FD2A05">
        <w:rPr>
          <w:rFonts w:ascii="Arial" w:hAnsi="Arial" w:cs="Arial"/>
          <w:sz w:val="24"/>
          <w:szCs w:val="24"/>
        </w:rPr>
        <w:t xml:space="preserve"> realizar la audiencia,  </w:t>
      </w:r>
      <w:r w:rsidR="00E503B7" w:rsidRPr="00632F38">
        <w:rPr>
          <w:rFonts w:ascii="Arial" w:hAnsi="Arial" w:cs="Arial"/>
          <w:sz w:val="24"/>
          <w:szCs w:val="24"/>
        </w:rPr>
        <w:t xml:space="preserve">ya que era prácticamente imposible notificar el rechazo de la solicitud a tiempo. Sin embargo, </w:t>
      </w:r>
      <w:r w:rsidR="008D285E" w:rsidRPr="00632F38">
        <w:rPr>
          <w:rFonts w:ascii="Arial" w:hAnsi="Arial" w:cs="Arial"/>
          <w:sz w:val="24"/>
          <w:szCs w:val="24"/>
        </w:rPr>
        <w:t>l</w:t>
      </w:r>
      <w:r w:rsidR="00E503B7" w:rsidRPr="00632F38">
        <w:rPr>
          <w:rFonts w:ascii="Arial" w:hAnsi="Arial" w:cs="Arial"/>
          <w:sz w:val="24"/>
          <w:szCs w:val="24"/>
        </w:rPr>
        <w:t xml:space="preserve">as notificaciones </w:t>
      </w:r>
      <w:r w:rsidR="008D285E" w:rsidRPr="00632F38">
        <w:rPr>
          <w:rFonts w:ascii="Arial" w:hAnsi="Arial" w:cs="Arial"/>
          <w:sz w:val="24"/>
          <w:szCs w:val="24"/>
        </w:rPr>
        <w:t xml:space="preserve">electrónicas </w:t>
      </w:r>
      <w:r w:rsidR="00E503B7" w:rsidRPr="00632F38">
        <w:rPr>
          <w:rFonts w:ascii="Arial" w:hAnsi="Arial" w:cs="Arial"/>
          <w:sz w:val="24"/>
          <w:szCs w:val="24"/>
        </w:rPr>
        <w:t>ya permiten notificar sin problemas</w:t>
      </w:r>
      <w:r w:rsidR="008D285E" w:rsidRPr="00632F38">
        <w:rPr>
          <w:rFonts w:ascii="Arial" w:hAnsi="Arial" w:cs="Arial"/>
          <w:sz w:val="24"/>
          <w:szCs w:val="24"/>
        </w:rPr>
        <w:t>, en forma real y con celeridad la denegatoria de la solicitud.</w:t>
      </w:r>
      <w:r w:rsidR="00E503B7" w:rsidRPr="00632F38">
        <w:rPr>
          <w:rFonts w:ascii="Arial" w:hAnsi="Arial" w:cs="Arial"/>
          <w:sz w:val="24"/>
          <w:szCs w:val="24"/>
        </w:rPr>
        <w:t xml:space="preserve"> </w:t>
      </w:r>
    </w:p>
    <w:p w:rsidR="00A878E0" w:rsidRDefault="00A878E0" w:rsidP="00A878E0">
      <w:pPr>
        <w:spacing w:line="360" w:lineRule="auto"/>
        <w:jc w:val="both"/>
        <w:rPr>
          <w:rFonts w:ascii="Arial" w:hAnsi="Arial" w:cs="Arial"/>
          <w:b/>
          <w:sz w:val="24"/>
          <w:szCs w:val="24"/>
        </w:rPr>
      </w:pPr>
    </w:p>
    <w:p w:rsidR="00460C6C" w:rsidRPr="00A878E0" w:rsidRDefault="00FD0EF3" w:rsidP="00A878E0">
      <w:pPr>
        <w:spacing w:line="360" w:lineRule="auto"/>
        <w:ind w:firstLine="708"/>
        <w:jc w:val="both"/>
        <w:rPr>
          <w:rFonts w:ascii="Arial" w:hAnsi="Arial" w:cs="Arial"/>
          <w:b/>
          <w:sz w:val="24"/>
          <w:szCs w:val="24"/>
        </w:rPr>
      </w:pPr>
      <w:r w:rsidRPr="00A878E0">
        <w:rPr>
          <w:rFonts w:ascii="Arial" w:hAnsi="Arial" w:cs="Arial"/>
          <w:b/>
          <w:sz w:val="24"/>
          <w:szCs w:val="24"/>
        </w:rPr>
        <w:t>2.3</w:t>
      </w:r>
      <w:r w:rsidR="00460C6C" w:rsidRPr="00A878E0">
        <w:rPr>
          <w:rFonts w:ascii="Arial" w:hAnsi="Arial" w:cs="Arial"/>
          <w:b/>
          <w:sz w:val="24"/>
          <w:szCs w:val="24"/>
        </w:rPr>
        <w:t xml:space="preserve"> </w:t>
      </w:r>
      <w:r w:rsidR="008464A6" w:rsidRPr="00A878E0">
        <w:rPr>
          <w:rFonts w:ascii="Arial" w:hAnsi="Arial" w:cs="Arial"/>
          <w:b/>
          <w:sz w:val="24"/>
          <w:szCs w:val="24"/>
        </w:rPr>
        <w:t>Incomparecencia de la parte actora</w:t>
      </w:r>
    </w:p>
    <w:p w:rsidR="00460C6C" w:rsidRPr="00632F38" w:rsidRDefault="00460C6C" w:rsidP="00460C6C">
      <w:pPr>
        <w:spacing w:line="360" w:lineRule="auto"/>
        <w:jc w:val="both"/>
        <w:rPr>
          <w:rFonts w:ascii="Arial" w:hAnsi="Arial" w:cs="Arial"/>
          <w:sz w:val="24"/>
          <w:szCs w:val="24"/>
        </w:rPr>
      </w:pPr>
      <w:r w:rsidRPr="00632F38">
        <w:rPr>
          <w:rFonts w:ascii="Arial" w:hAnsi="Arial" w:cs="Arial"/>
          <w:sz w:val="24"/>
          <w:szCs w:val="24"/>
        </w:rPr>
        <w:t xml:space="preserve">El ordinal segundo del texto legal que estamos analizando </w:t>
      </w:r>
      <w:r w:rsidR="00F043E5" w:rsidRPr="00632F38">
        <w:rPr>
          <w:rFonts w:ascii="Arial" w:hAnsi="Arial" w:cs="Arial"/>
          <w:sz w:val="24"/>
          <w:szCs w:val="24"/>
        </w:rPr>
        <w:t>inicia su redacción así:</w:t>
      </w:r>
      <w:r w:rsidRPr="00632F38">
        <w:rPr>
          <w:rFonts w:ascii="Arial" w:hAnsi="Arial" w:cs="Arial"/>
          <w:sz w:val="24"/>
          <w:szCs w:val="24"/>
        </w:rPr>
        <w:t xml:space="preserve"> “La inasistencia no justificada del actor a la audiencia preliminar se tendrá como desistimiento de su pretensión, incluso si el demandado tampoco compareciere, lo que se declarara en la misma audiencia, sin posibilidad de prorrogarla”.</w:t>
      </w:r>
    </w:p>
    <w:p w:rsidR="00460C6C" w:rsidRPr="00632F38" w:rsidRDefault="00F043E5" w:rsidP="00460C6C">
      <w:pPr>
        <w:spacing w:line="360" w:lineRule="auto"/>
        <w:jc w:val="both"/>
        <w:rPr>
          <w:rFonts w:ascii="Arial" w:hAnsi="Arial" w:cs="Arial"/>
          <w:sz w:val="24"/>
          <w:szCs w:val="24"/>
        </w:rPr>
      </w:pPr>
      <w:r w:rsidRPr="00632F38">
        <w:rPr>
          <w:rFonts w:ascii="Arial" w:hAnsi="Arial" w:cs="Arial"/>
          <w:sz w:val="24"/>
          <w:szCs w:val="24"/>
        </w:rPr>
        <w:t>Si bien se</w:t>
      </w:r>
      <w:r w:rsidR="00460C6C" w:rsidRPr="00632F38">
        <w:rPr>
          <w:rFonts w:ascii="Arial" w:hAnsi="Arial" w:cs="Arial"/>
          <w:sz w:val="24"/>
          <w:szCs w:val="24"/>
        </w:rPr>
        <w:t xml:space="preserve"> mantuvo la misma consecuencia que había antes para el actor que no comparece y no justifica su incomparecencia a la audiencia preliminar: </w:t>
      </w:r>
      <w:r w:rsidRPr="00632F38">
        <w:rPr>
          <w:rFonts w:ascii="Arial" w:hAnsi="Arial" w:cs="Arial"/>
          <w:sz w:val="24"/>
          <w:szCs w:val="24"/>
        </w:rPr>
        <w:t xml:space="preserve">el desistimiento de la pretensión (siempre que el proceso sea sobre cuestiones disponibles), la reforma del C.G.P introdujo aquí algunos cambios. </w:t>
      </w:r>
    </w:p>
    <w:p w:rsidR="001452E5" w:rsidRPr="00632F38" w:rsidRDefault="00886B8C" w:rsidP="00460C6C">
      <w:pPr>
        <w:spacing w:line="360" w:lineRule="auto"/>
        <w:jc w:val="both"/>
        <w:rPr>
          <w:rFonts w:ascii="Arial" w:hAnsi="Arial" w:cs="Arial"/>
          <w:sz w:val="24"/>
          <w:szCs w:val="24"/>
        </w:rPr>
      </w:pPr>
      <w:r>
        <w:rPr>
          <w:rFonts w:ascii="Arial" w:hAnsi="Arial" w:cs="Arial"/>
          <w:sz w:val="24"/>
          <w:szCs w:val="24"/>
        </w:rPr>
        <w:t xml:space="preserve">Una de las variaciones es que </w:t>
      </w:r>
      <w:r w:rsidR="00F043E5" w:rsidRPr="00632F38">
        <w:rPr>
          <w:rFonts w:ascii="Arial" w:hAnsi="Arial" w:cs="Arial"/>
          <w:sz w:val="24"/>
          <w:szCs w:val="24"/>
        </w:rPr>
        <w:t>el actual régimen establece que la consecuencia mencionada en el párrafo anterior para el actor que no comparece</w:t>
      </w:r>
      <w:r w:rsidR="001452E5" w:rsidRPr="00632F38">
        <w:rPr>
          <w:rFonts w:ascii="Arial" w:hAnsi="Arial" w:cs="Arial"/>
          <w:sz w:val="24"/>
          <w:szCs w:val="24"/>
        </w:rPr>
        <w:t xml:space="preserve"> se aplicara en el caso de que ambas parte</w:t>
      </w:r>
      <w:r>
        <w:rPr>
          <w:rFonts w:ascii="Arial" w:hAnsi="Arial" w:cs="Arial"/>
          <w:sz w:val="24"/>
          <w:szCs w:val="24"/>
        </w:rPr>
        <w:t>s no comparezcan. Dice VALENTIN</w:t>
      </w:r>
      <w:r>
        <w:rPr>
          <w:rStyle w:val="Refdenotaalpie"/>
          <w:rFonts w:ascii="Arial" w:hAnsi="Arial" w:cs="Arial"/>
          <w:sz w:val="24"/>
          <w:szCs w:val="24"/>
        </w:rPr>
        <w:footnoteReference w:id="3"/>
      </w:r>
      <w:r w:rsidR="00B52B49">
        <w:rPr>
          <w:rFonts w:ascii="Arial" w:hAnsi="Arial" w:cs="Arial"/>
          <w:sz w:val="24"/>
          <w:szCs w:val="24"/>
        </w:rPr>
        <w:t xml:space="preserve"> </w:t>
      </w:r>
      <w:r w:rsidR="001452E5" w:rsidRPr="00632F38">
        <w:rPr>
          <w:rFonts w:ascii="Arial" w:hAnsi="Arial" w:cs="Arial"/>
          <w:sz w:val="24"/>
          <w:szCs w:val="24"/>
        </w:rPr>
        <w:t>que gracias a esto, la vieja discusión que existía sobre cuales consec</w:t>
      </w:r>
      <w:r w:rsidR="00B52B49">
        <w:rPr>
          <w:rFonts w:ascii="Arial" w:hAnsi="Arial" w:cs="Arial"/>
          <w:sz w:val="24"/>
          <w:szCs w:val="24"/>
        </w:rPr>
        <w:t>uencias</w:t>
      </w:r>
      <w:r w:rsidR="001452E5" w:rsidRPr="00632F38">
        <w:rPr>
          <w:rFonts w:ascii="Arial" w:hAnsi="Arial" w:cs="Arial"/>
          <w:sz w:val="24"/>
          <w:szCs w:val="24"/>
        </w:rPr>
        <w:t xml:space="preserve"> debían aplicar</w:t>
      </w:r>
      <w:r>
        <w:rPr>
          <w:rFonts w:ascii="Arial" w:hAnsi="Arial" w:cs="Arial"/>
          <w:sz w:val="24"/>
          <w:szCs w:val="24"/>
        </w:rPr>
        <w:t>se</w:t>
      </w:r>
      <w:r w:rsidR="001452E5" w:rsidRPr="00632F38">
        <w:rPr>
          <w:rFonts w:ascii="Arial" w:hAnsi="Arial" w:cs="Arial"/>
          <w:sz w:val="24"/>
          <w:szCs w:val="24"/>
        </w:rPr>
        <w:t xml:space="preserve"> cuando las dos part</w:t>
      </w:r>
      <w:r w:rsidR="00B52B49">
        <w:rPr>
          <w:rFonts w:ascii="Arial" w:hAnsi="Arial" w:cs="Arial"/>
          <w:sz w:val="24"/>
          <w:szCs w:val="24"/>
        </w:rPr>
        <w:t>es no comparecían, queda saldada</w:t>
      </w:r>
      <w:r w:rsidR="001452E5" w:rsidRPr="00632F38">
        <w:rPr>
          <w:rFonts w:ascii="Arial" w:hAnsi="Arial" w:cs="Arial"/>
          <w:sz w:val="24"/>
          <w:szCs w:val="24"/>
        </w:rPr>
        <w:t>.</w:t>
      </w:r>
    </w:p>
    <w:p w:rsidR="002209D3" w:rsidRPr="00632F38" w:rsidRDefault="002209D3" w:rsidP="00460C6C">
      <w:pPr>
        <w:spacing w:line="360" w:lineRule="auto"/>
        <w:jc w:val="both"/>
        <w:rPr>
          <w:rFonts w:ascii="Arial" w:hAnsi="Arial" w:cs="Arial"/>
          <w:sz w:val="24"/>
          <w:szCs w:val="24"/>
        </w:rPr>
      </w:pPr>
      <w:r w:rsidRPr="00632F38">
        <w:rPr>
          <w:rFonts w:ascii="Arial" w:hAnsi="Arial" w:cs="Arial"/>
          <w:sz w:val="24"/>
          <w:szCs w:val="24"/>
        </w:rPr>
        <w:t>La norma sigue de esta manera: “El actor podrá justificar su incomparecencia mediante los recursos de reposición y apelación con efecto suspensivo. La providencia que, haciendo lugar a la reposición, tenga por justificada la incomparecencia del actor, será pasible de reposición y apelación con efecto diferido”</w:t>
      </w:r>
    </w:p>
    <w:p w:rsidR="00070C81" w:rsidRPr="00632F38" w:rsidRDefault="00E62CE5" w:rsidP="00460C6C">
      <w:pPr>
        <w:spacing w:line="360" w:lineRule="auto"/>
        <w:jc w:val="both"/>
        <w:rPr>
          <w:rFonts w:ascii="Arial" w:hAnsi="Arial" w:cs="Arial"/>
          <w:sz w:val="24"/>
          <w:szCs w:val="24"/>
        </w:rPr>
      </w:pPr>
      <w:r w:rsidRPr="00632F38">
        <w:rPr>
          <w:rFonts w:ascii="Arial" w:hAnsi="Arial" w:cs="Arial"/>
          <w:sz w:val="24"/>
          <w:szCs w:val="24"/>
        </w:rPr>
        <w:t xml:space="preserve">Un importante cambio </w:t>
      </w:r>
      <w:r w:rsidR="00BF1163" w:rsidRPr="00632F38">
        <w:rPr>
          <w:rFonts w:ascii="Arial" w:hAnsi="Arial" w:cs="Arial"/>
          <w:sz w:val="24"/>
          <w:szCs w:val="24"/>
        </w:rPr>
        <w:t>que hubo respecto a</w:t>
      </w:r>
      <w:r w:rsidRPr="00632F38">
        <w:rPr>
          <w:rFonts w:ascii="Arial" w:hAnsi="Arial" w:cs="Arial"/>
          <w:sz w:val="24"/>
          <w:szCs w:val="24"/>
        </w:rPr>
        <w:t xml:space="preserve"> la regulación anterior surge del fragmento </w:t>
      </w:r>
      <w:r w:rsidR="00BF1163" w:rsidRPr="00632F38">
        <w:rPr>
          <w:rFonts w:ascii="Arial" w:hAnsi="Arial" w:cs="Arial"/>
          <w:sz w:val="24"/>
          <w:szCs w:val="24"/>
        </w:rPr>
        <w:t>que acabamos de transcribir.</w:t>
      </w:r>
      <w:r w:rsidR="002B0BFC" w:rsidRPr="00632F38">
        <w:rPr>
          <w:rFonts w:ascii="Arial" w:hAnsi="Arial" w:cs="Arial"/>
          <w:sz w:val="24"/>
          <w:szCs w:val="24"/>
        </w:rPr>
        <w:t xml:space="preserve"> Con la instalación del nuevo régimen, la única vía que tiene el actor para justificar su incomparecencia a la audiencia preliminar es mediante </w:t>
      </w:r>
      <w:r w:rsidR="002B0BFC" w:rsidRPr="00632F38">
        <w:rPr>
          <w:rFonts w:ascii="Arial" w:hAnsi="Arial" w:cs="Arial"/>
          <w:sz w:val="24"/>
          <w:szCs w:val="24"/>
        </w:rPr>
        <w:lastRenderedPageBreak/>
        <w:t>los recursos de reposición y apelación con efecto suspensivo contra la resolución del Juez que lo tiene como desistido de su pretensión.</w:t>
      </w:r>
    </w:p>
    <w:p w:rsidR="00070C81" w:rsidRPr="00632F38" w:rsidRDefault="00886B8C" w:rsidP="00460C6C">
      <w:pPr>
        <w:spacing w:line="360" w:lineRule="auto"/>
        <w:jc w:val="both"/>
        <w:rPr>
          <w:rFonts w:ascii="Arial" w:hAnsi="Arial" w:cs="Arial"/>
          <w:sz w:val="24"/>
          <w:szCs w:val="24"/>
        </w:rPr>
      </w:pPr>
      <w:r>
        <w:rPr>
          <w:rFonts w:ascii="Arial" w:hAnsi="Arial" w:cs="Arial"/>
          <w:sz w:val="24"/>
          <w:szCs w:val="24"/>
        </w:rPr>
        <w:t>Para VALENTIN</w:t>
      </w:r>
      <w:r>
        <w:rPr>
          <w:rStyle w:val="Refdenotaalpie"/>
          <w:rFonts w:ascii="Arial" w:hAnsi="Arial" w:cs="Arial"/>
          <w:sz w:val="24"/>
          <w:szCs w:val="24"/>
        </w:rPr>
        <w:footnoteReference w:id="4"/>
      </w:r>
      <w:r>
        <w:rPr>
          <w:rFonts w:ascii="Arial" w:hAnsi="Arial" w:cs="Arial"/>
          <w:sz w:val="24"/>
          <w:szCs w:val="24"/>
        </w:rPr>
        <w:t xml:space="preserve"> </w:t>
      </w:r>
      <w:r w:rsidR="00070C81" w:rsidRPr="00632F38">
        <w:rPr>
          <w:rFonts w:ascii="Arial" w:hAnsi="Arial" w:cs="Arial"/>
          <w:sz w:val="24"/>
          <w:szCs w:val="24"/>
        </w:rPr>
        <w:t>esta solución pretendió eliminar la práctica admitida por la jurisprudencia que admitía una prórroga de la audiencia preliminar para d</w:t>
      </w:r>
      <w:r w:rsidR="00FB74BF" w:rsidRPr="00632F38">
        <w:rPr>
          <w:rFonts w:ascii="Arial" w:hAnsi="Arial" w:cs="Arial"/>
          <w:sz w:val="24"/>
          <w:szCs w:val="24"/>
        </w:rPr>
        <w:t>arle al actor que no comparecía</w:t>
      </w:r>
      <w:r w:rsidR="00070C81" w:rsidRPr="00632F38">
        <w:rPr>
          <w:rFonts w:ascii="Arial" w:hAnsi="Arial" w:cs="Arial"/>
          <w:sz w:val="24"/>
          <w:szCs w:val="24"/>
        </w:rPr>
        <w:t xml:space="preserve"> un plazo </w:t>
      </w:r>
      <w:r w:rsidR="00FB74BF" w:rsidRPr="00632F38">
        <w:rPr>
          <w:rFonts w:ascii="Arial" w:hAnsi="Arial" w:cs="Arial"/>
          <w:sz w:val="24"/>
          <w:szCs w:val="24"/>
        </w:rPr>
        <w:t>para justificar su inasistencia, esto considerando la grave sanción que el ordenamiento prevé para ello. En el actual régimen, la sanción se aplica en forma inmediata, en la misma audiencia, no existiendo posibilidad de prorrogarla, sino que el actor deberá interponer contra la resolución del Juez los recursos mencionados, en el plazo de seis días a contar desde el primer día hábil siguiente al cese del impedimento.</w:t>
      </w:r>
    </w:p>
    <w:p w:rsidR="00EC599E" w:rsidRPr="00632F38" w:rsidRDefault="008E5C19" w:rsidP="00460C6C">
      <w:pPr>
        <w:spacing w:line="360" w:lineRule="auto"/>
        <w:jc w:val="both"/>
        <w:rPr>
          <w:rFonts w:ascii="Arial" w:hAnsi="Arial" w:cs="Arial"/>
          <w:sz w:val="24"/>
          <w:szCs w:val="24"/>
        </w:rPr>
      </w:pPr>
      <w:r>
        <w:rPr>
          <w:rFonts w:ascii="Arial" w:hAnsi="Arial" w:cs="Arial"/>
          <w:sz w:val="24"/>
          <w:szCs w:val="24"/>
        </w:rPr>
        <w:t>E</w:t>
      </w:r>
      <w:r w:rsidR="00441603" w:rsidRPr="00632F38">
        <w:rPr>
          <w:rFonts w:ascii="Arial" w:hAnsi="Arial" w:cs="Arial"/>
          <w:sz w:val="24"/>
          <w:szCs w:val="24"/>
        </w:rPr>
        <w:t xml:space="preserve">l ordinal objeto de análisis </w:t>
      </w:r>
      <w:r>
        <w:rPr>
          <w:rFonts w:ascii="Arial" w:hAnsi="Arial" w:cs="Arial"/>
          <w:sz w:val="24"/>
          <w:szCs w:val="24"/>
        </w:rPr>
        <w:t xml:space="preserve">termina </w:t>
      </w:r>
      <w:r w:rsidR="00441603" w:rsidRPr="00632F38">
        <w:rPr>
          <w:rFonts w:ascii="Arial" w:hAnsi="Arial" w:cs="Arial"/>
          <w:sz w:val="24"/>
          <w:szCs w:val="24"/>
        </w:rPr>
        <w:t>de esta manera: “Si el proceso versare sobre las hipótesis previstas en el artículo 134, la inasistencia no justificada del actor determinara que se esté a su impulso para la continuación del mismo.”</w:t>
      </w:r>
    </w:p>
    <w:p w:rsidR="00441603" w:rsidRPr="00632F38" w:rsidRDefault="003772A8" w:rsidP="00460C6C">
      <w:pPr>
        <w:spacing w:line="360" w:lineRule="auto"/>
        <w:jc w:val="both"/>
        <w:rPr>
          <w:rFonts w:ascii="Arial" w:hAnsi="Arial" w:cs="Arial"/>
          <w:sz w:val="24"/>
          <w:szCs w:val="24"/>
        </w:rPr>
      </w:pPr>
      <w:r w:rsidRPr="00632F38">
        <w:rPr>
          <w:rFonts w:ascii="Arial" w:hAnsi="Arial" w:cs="Arial"/>
          <w:sz w:val="24"/>
          <w:szCs w:val="24"/>
        </w:rPr>
        <w:t>En este aspecto, la nueva redacción estableció expresamente una excepción a la aplicación de la sanción del artículo</w:t>
      </w:r>
      <w:r w:rsidR="00B719C1" w:rsidRPr="00632F38">
        <w:rPr>
          <w:rFonts w:ascii="Arial" w:hAnsi="Arial" w:cs="Arial"/>
          <w:sz w:val="24"/>
          <w:szCs w:val="24"/>
        </w:rPr>
        <w:t xml:space="preserve"> 340.2 C.G.P. </w:t>
      </w:r>
      <w:r w:rsidRPr="00632F38">
        <w:rPr>
          <w:rFonts w:ascii="Arial" w:hAnsi="Arial" w:cs="Arial"/>
          <w:sz w:val="24"/>
          <w:szCs w:val="24"/>
        </w:rPr>
        <w:t>subsanándose así la omisión que hacia el régimen anterior en cuanto a este punto. Si vamos al artículo 134 C.G.P. al cual la norma en cuestión se remite, las hipótesis a las que se refiere son: cuestiones de orden público, derechos indisponibles o hechos en los cuales se funda la demanda y no pueden ser probados por confesión. Entonces si el proceso es sobre alguna de estas</w:t>
      </w:r>
      <w:r w:rsidR="00B719C1" w:rsidRPr="00632F38">
        <w:rPr>
          <w:rFonts w:ascii="Arial" w:hAnsi="Arial" w:cs="Arial"/>
          <w:sz w:val="24"/>
          <w:szCs w:val="24"/>
        </w:rPr>
        <w:t xml:space="preserve"> </w:t>
      </w:r>
      <w:r w:rsidR="007F4000" w:rsidRPr="00632F38">
        <w:rPr>
          <w:rFonts w:ascii="Arial" w:hAnsi="Arial" w:cs="Arial"/>
          <w:sz w:val="24"/>
          <w:szCs w:val="24"/>
        </w:rPr>
        <w:t>hipótesis</w:t>
      </w:r>
      <w:r w:rsidRPr="00632F38">
        <w:rPr>
          <w:rFonts w:ascii="Arial" w:hAnsi="Arial" w:cs="Arial"/>
          <w:sz w:val="24"/>
          <w:szCs w:val="24"/>
        </w:rPr>
        <w:t xml:space="preserve"> y se da el caso que el actor no comparece a la audiencia preliminar, no se le tendrá por desistido de su pretensión, sino que por el contrario, se estará a la espera de que </w:t>
      </w:r>
      <w:r w:rsidR="00B719C1" w:rsidRPr="00632F38">
        <w:rPr>
          <w:rFonts w:ascii="Arial" w:hAnsi="Arial" w:cs="Arial"/>
          <w:sz w:val="24"/>
          <w:szCs w:val="24"/>
        </w:rPr>
        <w:t xml:space="preserve">este </w:t>
      </w:r>
      <w:r w:rsidRPr="00632F38">
        <w:rPr>
          <w:rFonts w:ascii="Arial" w:hAnsi="Arial" w:cs="Arial"/>
          <w:sz w:val="24"/>
          <w:szCs w:val="24"/>
        </w:rPr>
        <w:t>realice act</w:t>
      </w:r>
      <w:r w:rsidR="00B719C1" w:rsidRPr="00632F38">
        <w:rPr>
          <w:rFonts w:ascii="Arial" w:hAnsi="Arial" w:cs="Arial"/>
          <w:sz w:val="24"/>
          <w:szCs w:val="24"/>
        </w:rPr>
        <w:t>os procesales para la continuación del proceso.</w:t>
      </w:r>
    </w:p>
    <w:p w:rsidR="00A878E0" w:rsidRDefault="00A878E0" w:rsidP="00A878E0">
      <w:pPr>
        <w:spacing w:line="360" w:lineRule="auto"/>
        <w:jc w:val="both"/>
        <w:rPr>
          <w:rFonts w:ascii="Arial" w:hAnsi="Arial" w:cs="Arial"/>
          <w:b/>
          <w:sz w:val="24"/>
          <w:szCs w:val="24"/>
          <w:u w:val="single"/>
        </w:rPr>
      </w:pPr>
    </w:p>
    <w:p w:rsidR="00E72E18" w:rsidRPr="00A878E0" w:rsidRDefault="008464A6" w:rsidP="00A878E0">
      <w:pPr>
        <w:spacing w:line="360" w:lineRule="auto"/>
        <w:ind w:firstLine="708"/>
        <w:jc w:val="both"/>
        <w:rPr>
          <w:rFonts w:ascii="Arial" w:hAnsi="Arial" w:cs="Arial"/>
          <w:b/>
          <w:sz w:val="24"/>
          <w:szCs w:val="24"/>
        </w:rPr>
      </w:pPr>
      <w:r w:rsidRPr="00A878E0">
        <w:rPr>
          <w:rFonts w:ascii="Arial" w:hAnsi="Arial" w:cs="Arial"/>
          <w:b/>
          <w:sz w:val="24"/>
          <w:szCs w:val="24"/>
        </w:rPr>
        <w:t>2.4</w:t>
      </w:r>
      <w:r w:rsidR="00E72E18" w:rsidRPr="00A878E0">
        <w:rPr>
          <w:rFonts w:ascii="Arial" w:hAnsi="Arial" w:cs="Arial"/>
          <w:b/>
          <w:sz w:val="24"/>
          <w:szCs w:val="24"/>
        </w:rPr>
        <w:t xml:space="preserve"> </w:t>
      </w:r>
      <w:r w:rsidRPr="00A878E0">
        <w:rPr>
          <w:rFonts w:ascii="Arial" w:hAnsi="Arial" w:cs="Arial"/>
          <w:b/>
          <w:sz w:val="24"/>
          <w:szCs w:val="24"/>
        </w:rPr>
        <w:t>Incomparecencia de la parte demanda</w:t>
      </w:r>
    </w:p>
    <w:p w:rsidR="001434CE" w:rsidRPr="00632F38" w:rsidRDefault="000A212B" w:rsidP="00460C6C">
      <w:pPr>
        <w:spacing w:line="360" w:lineRule="auto"/>
        <w:jc w:val="both"/>
        <w:rPr>
          <w:rFonts w:ascii="Arial" w:hAnsi="Arial" w:cs="Arial"/>
          <w:sz w:val="24"/>
          <w:szCs w:val="24"/>
        </w:rPr>
      </w:pPr>
      <w:r w:rsidRPr="00632F38">
        <w:rPr>
          <w:rFonts w:ascii="Arial" w:hAnsi="Arial" w:cs="Arial"/>
          <w:sz w:val="24"/>
          <w:szCs w:val="24"/>
        </w:rPr>
        <w:t>Como ya vimos, el ordinal 340.2 del C.G.P regula la consecuencia que tiene la incomparecencia de la parte actora a la audiencia preliminar. En este capítulo haremos un análisis del artículo 340.3 del C.G.P., el cual regula el mismo tema para cuando la que no comparece es la parte demandada.</w:t>
      </w:r>
      <w:r w:rsidR="0079187E" w:rsidRPr="00632F38">
        <w:rPr>
          <w:rFonts w:ascii="Arial" w:hAnsi="Arial" w:cs="Arial"/>
          <w:sz w:val="24"/>
          <w:szCs w:val="24"/>
        </w:rPr>
        <w:t xml:space="preserve"> </w:t>
      </w:r>
    </w:p>
    <w:p w:rsidR="003772A8" w:rsidRDefault="0079187E" w:rsidP="00460C6C">
      <w:pPr>
        <w:spacing w:line="360" w:lineRule="auto"/>
        <w:jc w:val="both"/>
        <w:rPr>
          <w:rFonts w:ascii="Arial" w:hAnsi="Arial" w:cs="Arial"/>
          <w:sz w:val="24"/>
          <w:szCs w:val="24"/>
        </w:rPr>
      </w:pPr>
      <w:r w:rsidRPr="00632F38">
        <w:rPr>
          <w:rFonts w:ascii="Arial" w:hAnsi="Arial" w:cs="Arial"/>
          <w:sz w:val="24"/>
          <w:szCs w:val="24"/>
        </w:rPr>
        <w:lastRenderedPageBreak/>
        <w:t>El</w:t>
      </w:r>
      <w:r w:rsidR="001434CE" w:rsidRPr="00632F38">
        <w:rPr>
          <w:rFonts w:ascii="Arial" w:hAnsi="Arial" w:cs="Arial"/>
          <w:sz w:val="24"/>
          <w:szCs w:val="24"/>
        </w:rPr>
        <w:t xml:space="preserve"> ordinal tercero</w:t>
      </w:r>
      <w:r w:rsidRPr="00632F38">
        <w:rPr>
          <w:rFonts w:ascii="Arial" w:hAnsi="Arial" w:cs="Arial"/>
          <w:sz w:val="24"/>
          <w:szCs w:val="24"/>
        </w:rPr>
        <w:t xml:space="preserve"> se encuentra </w:t>
      </w:r>
      <w:r w:rsidR="00B858DA">
        <w:rPr>
          <w:rFonts w:ascii="Arial" w:hAnsi="Arial" w:cs="Arial"/>
          <w:sz w:val="24"/>
          <w:szCs w:val="24"/>
        </w:rPr>
        <w:t xml:space="preserve">actualmente </w:t>
      </w:r>
      <w:r w:rsidRPr="00632F38">
        <w:rPr>
          <w:rFonts w:ascii="Arial" w:hAnsi="Arial" w:cs="Arial"/>
          <w:sz w:val="24"/>
          <w:szCs w:val="24"/>
        </w:rPr>
        <w:t>redactado, en su primer inciso, de esta manera: “</w:t>
      </w:r>
      <w:r w:rsidR="001434CE" w:rsidRPr="00632F38">
        <w:rPr>
          <w:rFonts w:ascii="Arial" w:hAnsi="Arial" w:cs="Arial"/>
          <w:sz w:val="24"/>
          <w:szCs w:val="24"/>
        </w:rPr>
        <w:t xml:space="preserve">Si el inasistente fuere el demandado, el tribunal cumplirá, sin posibilidad de </w:t>
      </w:r>
      <w:r w:rsidR="001E44F4" w:rsidRPr="00632F38">
        <w:rPr>
          <w:rFonts w:ascii="Arial" w:hAnsi="Arial" w:cs="Arial"/>
          <w:sz w:val="24"/>
          <w:szCs w:val="24"/>
        </w:rPr>
        <w:t>prórroga</w:t>
      </w:r>
      <w:r w:rsidR="001434CE" w:rsidRPr="00632F38">
        <w:rPr>
          <w:rFonts w:ascii="Arial" w:hAnsi="Arial" w:cs="Arial"/>
          <w:sz w:val="24"/>
          <w:szCs w:val="24"/>
        </w:rPr>
        <w:t xml:space="preserve"> fundada en la inasistencia, la actividad prevista en los numerales 1) y 6) del </w:t>
      </w:r>
      <w:r w:rsidR="001E44F4" w:rsidRPr="00632F38">
        <w:rPr>
          <w:rFonts w:ascii="Arial" w:hAnsi="Arial" w:cs="Arial"/>
          <w:sz w:val="24"/>
          <w:szCs w:val="24"/>
        </w:rPr>
        <w:t>artículo</w:t>
      </w:r>
      <w:r w:rsidR="001434CE" w:rsidRPr="00632F38">
        <w:rPr>
          <w:rFonts w:ascii="Arial" w:hAnsi="Arial" w:cs="Arial"/>
          <w:sz w:val="24"/>
          <w:szCs w:val="24"/>
        </w:rPr>
        <w:t xml:space="preserve"> 341 y en el </w:t>
      </w:r>
      <w:r w:rsidR="001E44F4" w:rsidRPr="00632F38">
        <w:rPr>
          <w:rFonts w:ascii="Arial" w:hAnsi="Arial" w:cs="Arial"/>
          <w:sz w:val="24"/>
          <w:szCs w:val="24"/>
        </w:rPr>
        <w:t>artículo</w:t>
      </w:r>
      <w:r w:rsidR="00632F38">
        <w:rPr>
          <w:rFonts w:ascii="Arial" w:hAnsi="Arial" w:cs="Arial"/>
          <w:sz w:val="24"/>
          <w:szCs w:val="24"/>
        </w:rPr>
        <w:t xml:space="preserve"> 343, en lo pertinente, la de saneamiento que deba realizar de oficio y tendrá por ciertos los hechos afirmados por el actor en todo lo que no se haya probado lo contrario, salvo que  el proceso refiriese a alguna de las cuestiones mencionadas en el </w:t>
      </w:r>
      <w:r w:rsidR="001E44F4">
        <w:rPr>
          <w:rFonts w:ascii="Arial" w:hAnsi="Arial" w:cs="Arial"/>
          <w:sz w:val="24"/>
          <w:szCs w:val="24"/>
        </w:rPr>
        <w:t>inciso</w:t>
      </w:r>
      <w:r w:rsidR="00632F38">
        <w:rPr>
          <w:rFonts w:ascii="Arial" w:hAnsi="Arial" w:cs="Arial"/>
          <w:sz w:val="24"/>
          <w:szCs w:val="24"/>
        </w:rPr>
        <w:t xml:space="preserve"> segundo del </w:t>
      </w:r>
      <w:r w:rsidR="001E44F4">
        <w:rPr>
          <w:rFonts w:ascii="Arial" w:hAnsi="Arial" w:cs="Arial"/>
          <w:sz w:val="24"/>
          <w:szCs w:val="24"/>
        </w:rPr>
        <w:t>artículo</w:t>
      </w:r>
      <w:r w:rsidR="00632F38">
        <w:rPr>
          <w:rFonts w:ascii="Arial" w:hAnsi="Arial" w:cs="Arial"/>
          <w:sz w:val="24"/>
          <w:szCs w:val="24"/>
        </w:rPr>
        <w:t xml:space="preserve"> 134, en cuyo caso se estará a lo que allí se dispone”</w:t>
      </w:r>
    </w:p>
    <w:p w:rsidR="00013C64" w:rsidRDefault="00B858DA" w:rsidP="00460C6C">
      <w:pPr>
        <w:spacing w:line="360" w:lineRule="auto"/>
        <w:jc w:val="both"/>
        <w:rPr>
          <w:rFonts w:ascii="Arial" w:hAnsi="Arial" w:cs="Arial"/>
          <w:sz w:val="24"/>
          <w:szCs w:val="24"/>
        </w:rPr>
      </w:pPr>
      <w:r>
        <w:rPr>
          <w:rFonts w:ascii="Arial" w:hAnsi="Arial" w:cs="Arial"/>
          <w:sz w:val="24"/>
          <w:szCs w:val="24"/>
        </w:rPr>
        <w:t xml:space="preserve">La norma establece que la consecuencia que tendrá la parte demandada que no comparece a la audiencia preliminar y no justifica dicha conducta, será </w:t>
      </w:r>
      <w:r w:rsidR="00013C64">
        <w:rPr>
          <w:rFonts w:ascii="Arial" w:hAnsi="Arial" w:cs="Arial"/>
          <w:sz w:val="24"/>
          <w:szCs w:val="24"/>
        </w:rPr>
        <w:t>que se tendrán por ciertos los hechos alegados por el actor</w:t>
      </w:r>
      <w:r w:rsidR="00DE63B2">
        <w:rPr>
          <w:rFonts w:ascii="Arial" w:hAnsi="Arial" w:cs="Arial"/>
          <w:sz w:val="24"/>
          <w:szCs w:val="24"/>
        </w:rPr>
        <w:t>,</w:t>
      </w:r>
      <w:r w:rsidR="00DE63B2" w:rsidRPr="00DE63B2">
        <w:rPr>
          <w:rFonts w:ascii="Arial" w:hAnsi="Arial" w:cs="Arial"/>
          <w:sz w:val="24"/>
          <w:szCs w:val="24"/>
        </w:rPr>
        <w:t xml:space="preserve"> </w:t>
      </w:r>
      <w:r w:rsidR="00DE63B2" w:rsidRPr="004B549B">
        <w:rPr>
          <w:rFonts w:ascii="Arial" w:hAnsi="Arial" w:cs="Arial"/>
          <w:sz w:val="24"/>
          <w:szCs w:val="24"/>
        </w:rPr>
        <w:t xml:space="preserve">salvo </w:t>
      </w:r>
      <w:r w:rsidR="00DE63B2">
        <w:rPr>
          <w:rFonts w:ascii="Arial" w:hAnsi="Arial" w:cs="Arial"/>
          <w:sz w:val="24"/>
          <w:szCs w:val="24"/>
        </w:rPr>
        <w:t xml:space="preserve">los </w:t>
      </w:r>
      <w:r w:rsidR="00DE63B2" w:rsidRPr="004B549B">
        <w:rPr>
          <w:rFonts w:ascii="Arial" w:hAnsi="Arial" w:cs="Arial"/>
          <w:sz w:val="24"/>
          <w:szCs w:val="24"/>
        </w:rPr>
        <w:t>que se hubiera probado lo contrario con pru</w:t>
      </w:r>
      <w:r w:rsidR="00DE63B2">
        <w:rPr>
          <w:rFonts w:ascii="Arial" w:hAnsi="Arial" w:cs="Arial"/>
          <w:sz w:val="24"/>
          <w:szCs w:val="24"/>
        </w:rPr>
        <w:t>ebas ya incor</w:t>
      </w:r>
      <w:r w:rsidR="008E5C19">
        <w:rPr>
          <w:rFonts w:ascii="Arial" w:hAnsi="Arial" w:cs="Arial"/>
          <w:sz w:val="24"/>
          <w:szCs w:val="24"/>
        </w:rPr>
        <w:t>poradas al proceso, y salvo que se considere</w:t>
      </w:r>
      <w:r w:rsidR="00DE63B2">
        <w:rPr>
          <w:rFonts w:ascii="Arial" w:hAnsi="Arial" w:cs="Arial"/>
          <w:sz w:val="24"/>
          <w:szCs w:val="24"/>
        </w:rPr>
        <w:t>n cuestiones indisponibles.</w:t>
      </w:r>
    </w:p>
    <w:p w:rsidR="00AF0298" w:rsidRDefault="00D45EF7" w:rsidP="00460C6C">
      <w:pPr>
        <w:spacing w:line="360" w:lineRule="auto"/>
        <w:jc w:val="both"/>
        <w:rPr>
          <w:rFonts w:ascii="Arial" w:hAnsi="Arial" w:cs="Arial"/>
          <w:sz w:val="24"/>
          <w:szCs w:val="24"/>
        </w:rPr>
      </w:pPr>
      <w:r>
        <w:rPr>
          <w:rFonts w:ascii="Arial" w:hAnsi="Arial" w:cs="Arial"/>
          <w:sz w:val="24"/>
          <w:szCs w:val="24"/>
        </w:rPr>
        <w:t>Ante la configuración de la incomparecencia del demandado, el texto legal le indica al</w:t>
      </w:r>
      <w:r w:rsidR="000C034D">
        <w:rPr>
          <w:rFonts w:ascii="Arial" w:hAnsi="Arial" w:cs="Arial"/>
          <w:sz w:val="24"/>
          <w:szCs w:val="24"/>
        </w:rPr>
        <w:t xml:space="preserve"> juez</w:t>
      </w:r>
      <w:r>
        <w:rPr>
          <w:rFonts w:ascii="Arial" w:hAnsi="Arial" w:cs="Arial"/>
          <w:sz w:val="24"/>
          <w:szCs w:val="24"/>
        </w:rPr>
        <w:t xml:space="preserve"> como deberá desarrollarse la audiencia. </w:t>
      </w:r>
      <w:r w:rsidR="000C034D">
        <w:rPr>
          <w:rFonts w:ascii="Arial" w:hAnsi="Arial" w:cs="Arial"/>
          <w:sz w:val="24"/>
          <w:szCs w:val="24"/>
        </w:rPr>
        <w:t xml:space="preserve">Dice la norma que el tribunal deberá cumplir con las actividades que se prevén en los numerales 1° y 6° del </w:t>
      </w:r>
      <w:r w:rsidR="003C5D07">
        <w:rPr>
          <w:rFonts w:ascii="Arial" w:hAnsi="Arial" w:cs="Arial"/>
          <w:sz w:val="24"/>
          <w:szCs w:val="24"/>
        </w:rPr>
        <w:t>artículo</w:t>
      </w:r>
      <w:r w:rsidR="000C034D">
        <w:rPr>
          <w:rFonts w:ascii="Arial" w:hAnsi="Arial" w:cs="Arial"/>
          <w:sz w:val="24"/>
          <w:szCs w:val="24"/>
        </w:rPr>
        <w:t xml:space="preserve"> 341 del C.G.P., también las que establece el </w:t>
      </w:r>
      <w:r w:rsidR="003C5D07">
        <w:rPr>
          <w:rFonts w:ascii="Arial" w:hAnsi="Arial" w:cs="Arial"/>
          <w:sz w:val="24"/>
          <w:szCs w:val="24"/>
        </w:rPr>
        <w:t>artículo</w:t>
      </w:r>
      <w:r w:rsidR="000C034D">
        <w:rPr>
          <w:rFonts w:ascii="Arial" w:hAnsi="Arial" w:cs="Arial"/>
          <w:sz w:val="24"/>
          <w:szCs w:val="24"/>
        </w:rPr>
        <w:t xml:space="preserve"> 343 si correspondiere, </w:t>
      </w:r>
      <w:r w:rsidR="003C5D07">
        <w:rPr>
          <w:rFonts w:ascii="Arial" w:hAnsi="Arial" w:cs="Arial"/>
          <w:sz w:val="24"/>
          <w:szCs w:val="24"/>
        </w:rPr>
        <w:t>así</w:t>
      </w:r>
      <w:r w:rsidR="000C034D">
        <w:rPr>
          <w:rFonts w:ascii="Arial" w:hAnsi="Arial" w:cs="Arial"/>
          <w:sz w:val="24"/>
          <w:szCs w:val="24"/>
        </w:rPr>
        <w:t xml:space="preserve"> como el saneamiento de oficio.</w:t>
      </w:r>
      <w:r w:rsidR="007D7295">
        <w:rPr>
          <w:rFonts w:ascii="Arial" w:hAnsi="Arial" w:cs="Arial"/>
          <w:sz w:val="24"/>
          <w:szCs w:val="24"/>
        </w:rPr>
        <w:t xml:space="preserve"> Todo esto siempre que el proceso verse sobre cuestiones disponibles.</w:t>
      </w:r>
      <w:r w:rsidR="00AF0298">
        <w:rPr>
          <w:rFonts w:ascii="Arial" w:hAnsi="Arial" w:cs="Arial"/>
          <w:sz w:val="24"/>
          <w:szCs w:val="24"/>
        </w:rPr>
        <w:t xml:space="preserve"> Según lo recién expresado, la audiencia preliminar cuando el demandado no comparece se realizara </w:t>
      </w:r>
      <w:r w:rsidR="005B0FDF">
        <w:rPr>
          <w:rFonts w:ascii="Arial" w:hAnsi="Arial" w:cs="Arial"/>
          <w:sz w:val="24"/>
          <w:szCs w:val="24"/>
        </w:rPr>
        <w:t>con las particularidades</w:t>
      </w:r>
      <w:r w:rsidR="00AF0298">
        <w:rPr>
          <w:rFonts w:ascii="Arial" w:hAnsi="Arial" w:cs="Arial"/>
          <w:sz w:val="24"/>
          <w:szCs w:val="24"/>
        </w:rPr>
        <w:t xml:space="preserve"> que expondremos a continuación. </w:t>
      </w:r>
    </w:p>
    <w:p w:rsidR="004B549B" w:rsidRDefault="004B549B" w:rsidP="004B549B">
      <w:pPr>
        <w:spacing w:line="360" w:lineRule="auto"/>
        <w:jc w:val="both"/>
        <w:rPr>
          <w:rFonts w:ascii="Arial" w:hAnsi="Arial" w:cs="Arial"/>
          <w:sz w:val="24"/>
          <w:szCs w:val="24"/>
        </w:rPr>
      </w:pPr>
      <w:r>
        <w:rPr>
          <w:rFonts w:ascii="Arial" w:hAnsi="Arial" w:cs="Arial"/>
          <w:sz w:val="24"/>
          <w:szCs w:val="24"/>
        </w:rPr>
        <w:t>En primer lugar se hará la r</w:t>
      </w:r>
      <w:r w:rsidRPr="004B549B">
        <w:rPr>
          <w:rFonts w:ascii="Arial" w:hAnsi="Arial" w:cs="Arial"/>
          <w:sz w:val="24"/>
          <w:szCs w:val="24"/>
        </w:rPr>
        <w:t>atificación de la demanda, aclarando sus extremos si resultaren oscuros o imprecisos (art</w:t>
      </w:r>
      <w:r>
        <w:rPr>
          <w:rFonts w:ascii="Arial" w:hAnsi="Arial" w:cs="Arial"/>
          <w:sz w:val="24"/>
          <w:szCs w:val="24"/>
        </w:rPr>
        <w:t>ículo 341 numeral</w:t>
      </w:r>
      <w:r w:rsidRPr="004B549B">
        <w:rPr>
          <w:rFonts w:ascii="Arial" w:hAnsi="Arial" w:cs="Arial"/>
          <w:sz w:val="24"/>
          <w:szCs w:val="24"/>
        </w:rPr>
        <w:t xml:space="preserve"> 1</w:t>
      </w:r>
      <w:r>
        <w:rPr>
          <w:rFonts w:ascii="Arial" w:hAnsi="Arial" w:cs="Arial"/>
          <w:sz w:val="24"/>
          <w:szCs w:val="24"/>
        </w:rPr>
        <w:t>°</w:t>
      </w:r>
      <w:r w:rsidRPr="004B549B">
        <w:rPr>
          <w:rFonts w:ascii="Arial" w:hAnsi="Arial" w:cs="Arial"/>
          <w:sz w:val="24"/>
          <w:szCs w:val="24"/>
        </w:rPr>
        <w:t xml:space="preserve">). </w:t>
      </w:r>
      <w:r>
        <w:rPr>
          <w:rFonts w:ascii="Arial" w:hAnsi="Arial" w:cs="Arial"/>
          <w:sz w:val="24"/>
          <w:szCs w:val="24"/>
        </w:rPr>
        <w:t>Al no estar en audiencia el demandado,</w:t>
      </w:r>
      <w:r w:rsidRPr="004B549B">
        <w:rPr>
          <w:rFonts w:ascii="Arial" w:hAnsi="Arial" w:cs="Arial"/>
          <w:sz w:val="24"/>
          <w:szCs w:val="24"/>
        </w:rPr>
        <w:t xml:space="preserve"> no podrá ratificar su contestación</w:t>
      </w:r>
      <w:r>
        <w:rPr>
          <w:rFonts w:ascii="Arial" w:hAnsi="Arial" w:cs="Arial"/>
          <w:sz w:val="24"/>
          <w:szCs w:val="24"/>
        </w:rPr>
        <w:t>.</w:t>
      </w:r>
    </w:p>
    <w:p w:rsidR="004B549B" w:rsidRPr="004B549B" w:rsidRDefault="004B549B" w:rsidP="004B549B">
      <w:pPr>
        <w:spacing w:line="360" w:lineRule="auto"/>
        <w:jc w:val="both"/>
        <w:rPr>
          <w:rFonts w:ascii="Arial" w:hAnsi="Arial" w:cs="Arial"/>
          <w:sz w:val="24"/>
          <w:szCs w:val="24"/>
        </w:rPr>
      </w:pPr>
      <w:r>
        <w:rPr>
          <w:rFonts w:ascii="Arial" w:hAnsi="Arial" w:cs="Arial"/>
          <w:sz w:val="24"/>
          <w:szCs w:val="24"/>
        </w:rPr>
        <w:t>Se omitirá la alegación de hechos nuevos, prevista en el artículo 341 numeral 2°. Tampoco se</w:t>
      </w:r>
      <w:r w:rsidRPr="004B549B">
        <w:rPr>
          <w:rFonts w:ascii="Arial" w:hAnsi="Arial" w:cs="Arial"/>
          <w:sz w:val="24"/>
          <w:szCs w:val="24"/>
        </w:rPr>
        <w:t xml:space="preserve"> podrá tentar la conciliación, </w:t>
      </w:r>
      <w:r>
        <w:rPr>
          <w:rFonts w:ascii="Arial" w:hAnsi="Arial" w:cs="Arial"/>
          <w:sz w:val="24"/>
          <w:szCs w:val="24"/>
        </w:rPr>
        <w:t xml:space="preserve">debido a que el demandado no se encuentra presente </w:t>
      </w:r>
      <w:r w:rsidRPr="004B549B">
        <w:rPr>
          <w:rFonts w:ascii="Arial" w:hAnsi="Arial" w:cs="Arial"/>
          <w:sz w:val="24"/>
          <w:szCs w:val="24"/>
        </w:rPr>
        <w:t>(art</w:t>
      </w:r>
      <w:r>
        <w:rPr>
          <w:rFonts w:ascii="Arial" w:hAnsi="Arial" w:cs="Arial"/>
          <w:sz w:val="24"/>
          <w:szCs w:val="24"/>
        </w:rPr>
        <w:t>ículo</w:t>
      </w:r>
      <w:r w:rsidRPr="004B549B">
        <w:rPr>
          <w:rFonts w:ascii="Arial" w:hAnsi="Arial" w:cs="Arial"/>
          <w:sz w:val="24"/>
          <w:szCs w:val="24"/>
        </w:rPr>
        <w:t xml:space="preserve"> 341 num</w:t>
      </w:r>
      <w:r>
        <w:rPr>
          <w:rFonts w:ascii="Arial" w:hAnsi="Arial" w:cs="Arial"/>
          <w:sz w:val="24"/>
          <w:szCs w:val="24"/>
        </w:rPr>
        <w:t>eral</w:t>
      </w:r>
      <w:r w:rsidRPr="004B549B">
        <w:rPr>
          <w:rFonts w:ascii="Arial" w:hAnsi="Arial" w:cs="Arial"/>
          <w:sz w:val="24"/>
          <w:szCs w:val="24"/>
        </w:rPr>
        <w:t xml:space="preserve"> 3</w:t>
      </w:r>
      <w:r>
        <w:rPr>
          <w:rFonts w:ascii="Arial" w:hAnsi="Arial" w:cs="Arial"/>
          <w:sz w:val="24"/>
          <w:szCs w:val="24"/>
        </w:rPr>
        <w:t>°</w:t>
      </w:r>
      <w:r w:rsidRPr="004B549B">
        <w:rPr>
          <w:rFonts w:ascii="Arial" w:hAnsi="Arial" w:cs="Arial"/>
          <w:sz w:val="24"/>
          <w:szCs w:val="24"/>
        </w:rPr>
        <w:t>).</w:t>
      </w:r>
    </w:p>
    <w:p w:rsidR="001A7C4F" w:rsidRDefault="00F0339A" w:rsidP="004B549B">
      <w:pPr>
        <w:spacing w:line="360" w:lineRule="auto"/>
        <w:jc w:val="both"/>
        <w:rPr>
          <w:rFonts w:ascii="Arial" w:hAnsi="Arial" w:cs="Arial"/>
          <w:sz w:val="24"/>
          <w:szCs w:val="24"/>
        </w:rPr>
      </w:pPr>
      <w:r>
        <w:rPr>
          <w:rFonts w:ascii="Arial" w:hAnsi="Arial" w:cs="Arial"/>
          <w:sz w:val="24"/>
          <w:szCs w:val="24"/>
        </w:rPr>
        <w:t>Respecto de la prueba sobre las excepciones previas</w:t>
      </w:r>
      <w:r w:rsidR="001A7C4F">
        <w:rPr>
          <w:rFonts w:ascii="Arial" w:hAnsi="Arial" w:cs="Arial"/>
          <w:sz w:val="24"/>
          <w:szCs w:val="24"/>
        </w:rPr>
        <w:t xml:space="preserve"> (artículo 341 numeral 4°)</w:t>
      </w:r>
      <w:r>
        <w:rPr>
          <w:rFonts w:ascii="Arial" w:hAnsi="Arial" w:cs="Arial"/>
          <w:sz w:val="24"/>
          <w:szCs w:val="24"/>
        </w:rPr>
        <w:t xml:space="preserve">, </w:t>
      </w:r>
      <w:r w:rsidR="001A7C4F">
        <w:rPr>
          <w:rFonts w:ascii="Arial" w:hAnsi="Arial" w:cs="Arial"/>
          <w:sz w:val="24"/>
          <w:szCs w:val="24"/>
        </w:rPr>
        <w:t xml:space="preserve">esta no recibirá, así como tampoco se dictara resolución sobre las mismas. Esto debido a </w:t>
      </w:r>
      <w:r w:rsidR="001A7C4F">
        <w:rPr>
          <w:rFonts w:ascii="Arial" w:hAnsi="Arial" w:cs="Arial"/>
          <w:sz w:val="24"/>
          <w:szCs w:val="24"/>
        </w:rPr>
        <w:lastRenderedPageBreak/>
        <w:t>que, en palabras de VALENTIN</w:t>
      </w:r>
      <w:r w:rsidR="008E5C19">
        <w:rPr>
          <w:rStyle w:val="Refdenotaalpie"/>
          <w:rFonts w:ascii="Arial" w:hAnsi="Arial" w:cs="Arial"/>
          <w:sz w:val="24"/>
          <w:szCs w:val="24"/>
        </w:rPr>
        <w:footnoteReference w:id="5"/>
      </w:r>
      <w:r w:rsidR="001A7C4F">
        <w:rPr>
          <w:rFonts w:ascii="Arial" w:hAnsi="Arial" w:cs="Arial"/>
          <w:sz w:val="24"/>
          <w:szCs w:val="24"/>
        </w:rPr>
        <w:t>: “</w:t>
      </w:r>
      <w:r w:rsidR="004B549B" w:rsidRPr="004B549B">
        <w:rPr>
          <w:rFonts w:ascii="Arial" w:hAnsi="Arial" w:cs="Arial"/>
          <w:sz w:val="24"/>
          <w:szCs w:val="24"/>
        </w:rPr>
        <w:t>la incomparecencia del demandado determinaría una especie de desistimiento tácito de la oposición de esas excepciones</w:t>
      </w:r>
      <w:r w:rsidR="001A7C4F">
        <w:rPr>
          <w:rFonts w:ascii="Arial" w:hAnsi="Arial" w:cs="Arial"/>
          <w:sz w:val="24"/>
          <w:szCs w:val="24"/>
        </w:rPr>
        <w:t>”.</w:t>
      </w:r>
    </w:p>
    <w:p w:rsidR="004B549B" w:rsidRPr="004B549B" w:rsidRDefault="00334785" w:rsidP="004B549B">
      <w:pPr>
        <w:spacing w:line="360" w:lineRule="auto"/>
        <w:jc w:val="both"/>
        <w:rPr>
          <w:rFonts w:ascii="Arial" w:hAnsi="Arial" w:cs="Arial"/>
          <w:sz w:val="24"/>
          <w:szCs w:val="24"/>
        </w:rPr>
      </w:pPr>
      <w:r>
        <w:rPr>
          <w:rFonts w:ascii="Arial" w:hAnsi="Arial" w:cs="Arial"/>
          <w:sz w:val="24"/>
          <w:szCs w:val="24"/>
        </w:rPr>
        <w:t>Lo que si será realizado es el</w:t>
      </w:r>
      <w:r w:rsidR="004B549B" w:rsidRPr="004B549B">
        <w:rPr>
          <w:rFonts w:ascii="Arial" w:hAnsi="Arial" w:cs="Arial"/>
          <w:sz w:val="24"/>
          <w:szCs w:val="24"/>
        </w:rPr>
        <w:t xml:space="preserve"> saneamiento de oficio,</w:t>
      </w:r>
      <w:r>
        <w:rPr>
          <w:rFonts w:ascii="Arial" w:hAnsi="Arial" w:cs="Arial"/>
          <w:sz w:val="24"/>
          <w:szCs w:val="24"/>
        </w:rPr>
        <w:t xml:space="preserve"> según lo dispone la norma que estamos analizando. El saneamiento de oficio tiene como objeto subsanar las nulidades que puedan surgir de situaciones</w:t>
      </w:r>
      <w:r w:rsidR="004B549B" w:rsidRPr="004B549B">
        <w:rPr>
          <w:rFonts w:ascii="Arial" w:hAnsi="Arial" w:cs="Arial"/>
          <w:sz w:val="24"/>
          <w:szCs w:val="24"/>
        </w:rPr>
        <w:t xml:space="preserve"> que</w:t>
      </w:r>
      <w:r>
        <w:rPr>
          <w:rFonts w:ascii="Arial" w:hAnsi="Arial" w:cs="Arial"/>
          <w:sz w:val="24"/>
          <w:szCs w:val="24"/>
        </w:rPr>
        <w:t xml:space="preserve"> no hacen a la cuestión de fondo del proceso. El ej</w:t>
      </w:r>
      <w:r w:rsidR="008E5C19">
        <w:rPr>
          <w:rFonts w:ascii="Arial" w:hAnsi="Arial" w:cs="Arial"/>
          <w:sz w:val="24"/>
          <w:szCs w:val="24"/>
        </w:rPr>
        <w:t>emplo por excelencia de esto</w:t>
      </w:r>
      <w:r>
        <w:rPr>
          <w:rFonts w:ascii="Arial" w:hAnsi="Arial" w:cs="Arial"/>
          <w:sz w:val="24"/>
          <w:szCs w:val="24"/>
        </w:rPr>
        <w:t xml:space="preserve"> es todo aquello relacionado con los presupuestos procesales.</w:t>
      </w:r>
    </w:p>
    <w:p w:rsidR="004B549B" w:rsidRDefault="007F4000" w:rsidP="00DE63B2">
      <w:pPr>
        <w:spacing w:line="360" w:lineRule="auto"/>
        <w:jc w:val="both"/>
        <w:rPr>
          <w:rFonts w:ascii="Arial" w:hAnsi="Arial" w:cs="Arial"/>
          <w:sz w:val="24"/>
          <w:szCs w:val="24"/>
        </w:rPr>
      </w:pPr>
      <w:r>
        <w:rPr>
          <w:rFonts w:ascii="Arial" w:hAnsi="Arial" w:cs="Arial"/>
          <w:sz w:val="24"/>
          <w:szCs w:val="24"/>
        </w:rPr>
        <w:t xml:space="preserve">Por último, </w:t>
      </w:r>
      <w:r w:rsidR="00DE63B2">
        <w:rPr>
          <w:rFonts w:ascii="Arial" w:hAnsi="Arial" w:cs="Arial"/>
          <w:sz w:val="24"/>
          <w:szCs w:val="24"/>
        </w:rPr>
        <w:t>el tribunal</w:t>
      </w:r>
      <w:r w:rsidR="004B549B" w:rsidRPr="004B549B">
        <w:rPr>
          <w:rFonts w:ascii="Arial" w:hAnsi="Arial" w:cs="Arial"/>
          <w:sz w:val="24"/>
          <w:szCs w:val="24"/>
        </w:rPr>
        <w:t xml:space="preserve"> fijará el objeto del proceso</w:t>
      </w:r>
      <w:r w:rsidR="00DE63B2">
        <w:rPr>
          <w:rFonts w:ascii="Arial" w:hAnsi="Arial" w:cs="Arial"/>
          <w:sz w:val="24"/>
          <w:szCs w:val="24"/>
        </w:rPr>
        <w:t xml:space="preserve">, </w:t>
      </w:r>
      <w:r w:rsidR="00BE27B6">
        <w:rPr>
          <w:rFonts w:ascii="Arial" w:hAnsi="Arial" w:cs="Arial"/>
          <w:sz w:val="24"/>
          <w:szCs w:val="24"/>
        </w:rPr>
        <w:t>hará</w:t>
      </w:r>
      <w:r w:rsidR="00DE63B2">
        <w:rPr>
          <w:rFonts w:ascii="Arial" w:hAnsi="Arial" w:cs="Arial"/>
          <w:sz w:val="24"/>
          <w:szCs w:val="24"/>
        </w:rPr>
        <w:t xml:space="preserve"> lo mismo con el objeto </w:t>
      </w:r>
      <w:r w:rsidR="004B549B" w:rsidRPr="004B549B">
        <w:rPr>
          <w:rFonts w:ascii="Arial" w:hAnsi="Arial" w:cs="Arial"/>
          <w:sz w:val="24"/>
          <w:szCs w:val="24"/>
        </w:rPr>
        <w:t>de la prueba</w:t>
      </w:r>
      <w:r>
        <w:rPr>
          <w:rFonts w:ascii="Arial" w:hAnsi="Arial" w:cs="Arial"/>
          <w:sz w:val="24"/>
          <w:szCs w:val="24"/>
        </w:rPr>
        <w:t>, se pronunciara sobre los medios probatorios</w:t>
      </w:r>
      <w:r w:rsidR="00DE63B2">
        <w:rPr>
          <w:rFonts w:ascii="Arial" w:hAnsi="Arial" w:cs="Arial"/>
          <w:sz w:val="24"/>
          <w:szCs w:val="24"/>
        </w:rPr>
        <w:t>, y diligenciara prueba si correspondiere, pudiendo llegar a dictar sentencia definitiva en la misma audiencia.</w:t>
      </w:r>
    </w:p>
    <w:p w:rsidR="00560656" w:rsidRDefault="00560656" w:rsidP="0024151E">
      <w:pPr>
        <w:spacing w:line="360" w:lineRule="auto"/>
        <w:jc w:val="both"/>
        <w:rPr>
          <w:rFonts w:ascii="Arial" w:hAnsi="Arial" w:cs="Arial"/>
          <w:sz w:val="24"/>
          <w:szCs w:val="24"/>
        </w:rPr>
      </w:pPr>
      <w:r>
        <w:rPr>
          <w:rFonts w:ascii="Arial" w:hAnsi="Arial" w:cs="Arial"/>
          <w:sz w:val="24"/>
          <w:szCs w:val="24"/>
        </w:rPr>
        <w:t>En otro orden de ideas, c</w:t>
      </w:r>
      <w:r w:rsidR="0070198A">
        <w:rPr>
          <w:rFonts w:ascii="Arial" w:hAnsi="Arial" w:cs="Arial"/>
          <w:sz w:val="24"/>
          <w:szCs w:val="24"/>
        </w:rPr>
        <w:t xml:space="preserve">on la </w:t>
      </w:r>
      <w:r w:rsidR="00B858DA">
        <w:rPr>
          <w:rFonts w:ascii="Arial" w:hAnsi="Arial" w:cs="Arial"/>
          <w:sz w:val="24"/>
          <w:szCs w:val="24"/>
        </w:rPr>
        <w:t xml:space="preserve">nueva </w:t>
      </w:r>
      <w:r w:rsidR="0070198A">
        <w:rPr>
          <w:rFonts w:ascii="Arial" w:hAnsi="Arial" w:cs="Arial"/>
          <w:sz w:val="24"/>
          <w:szCs w:val="24"/>
        </w:rPr>
        <w:t xml:space="preserve">redacción dada por la Ley 19.090, al igual que para la incomparecencia de la parte actora, se </w:t>
      </w:r>
      <w:r w:rsidR="006678F5">
        <w:rPr>
          <w:rFonts w:ascii="Arial" w:hAnsi="Arial" w:cs="Arial"/>
          <w:sz w:val="24"/>
          <w:szCs w:val="24"/>
        </w:rPr>
        <w:t>eliminó</w:t>
      </w:r>
      <w:r w:rsidR="0070198A">
        <w:rPr>
          <w:rFonts w:ascii="Arial" w:hAnsi="Arial" w:cs="Arial"/>
          <w:sz w:val="24"/>
          <w:szCs w:val="24"/>
        </w:rPr>
        <w:t xml:space="preserve"> la </w:t>
      </w:r>
      <w:r w:rsidR="006678F5">
        <w:rPr>
          <w:rFonts w:ascii="Arial" w:hAnsi="Arial" w:cs="Arial"/>
          <w:sz w:val="24"/>
          <w:szCs w:val="24"/>
        </w:rPr>
        <w:t>práctica</w:t>
      </w:r>
      <w:r w:rsidR="0070198A">
        <w:rPr>
          <w:rFonts w:ascii="Arial" w:hAnsi="Arial" w:cs="Arial"/>
          <w:sz w:val="24"/>
          <w:szCs w:val="24"/>
        </w:rPr>
        <w:t xml:space="preserve"> de prorrogar la audiencia preliminar para habilitar la eventual justificación. </w:t>
      </w:r>
    </w:p>
    <w:p w:rsidR="006678F5" w:rsidRDefault="006678F5" w:rsidP="0024151E">
      <w:pPr>
        <w:spacing w:line="360" w:lineRule="auto"/>
        <w:jc w:val="both"/>
        <w:rPr>
          <w:rFonts w:ascii="Arial" w:hAnsi="Arial" w:cs="Arial"/>
          <w:sz w:val="24"/>
          <w:szCs w:val="24"/>
        </w:rPr>
      </w:pPr>
      <w:r>
        <w:rPr>
          <w:rFonts w:ascii="Arial" w:hAnsi="Arial" w:cs="Arial"/>
          <w:sz w:val="24"/>
          <w:szCs w:val="24"/>
        </w:rPr>
        <w:t xml:space="preserve">Para que el demandado justifique su incomparecencia, la ley prevé que esto se haga por la vía recursiva, a través de la interposición de los recursos de reposición y apelación en subsidio contra la resolución del Juez que decreta su inasistencia. Si se ha dictado ya sentencia </w:t>
      </w:r>
      <w:r w:rsidR="003C5D07">
        <w:rPr>
          <w:rFonts w:ascii="Arial" w:hAnsi="Arial" w:cs="Arial"/>
          <w:sz w:val="24"/>
          <w:szCs w:val="24"/>
        </w:rPr>
        <w:t>definitiva</w:t>
      </w:r>
      <w:r>
        <w:rPr>
          <w:rFonts w:ascii="Arial" w:hAnsi="Arial" w:cs="Arial"/>
          <w:sz w:val="24"/>
          <w:szCs w:val="24"/>
        </w:rPr>
        <w:t xml:space="preserve">, la única </w:t>
      </w:r>
      <w:r w:rsidR="00810C12">
        <w:rPr>
          <w:rFonts w:ascii="Arial" w:hAnsi="Arial" w:cs="Arial"/>
          <w:sz w:val="24"/>
          <w:szCs w:val="24"/>
        </w:rPr>
        <w:t xml:space="preserve">manera que </w:t>
      </w:r>
      <w:r w:rsidR="00013C64">
        <w:rPr>
          <w:rFonts w:ascii="Arial" w:hAnsi="Arial" w:cs="Arial"/>
          <w:sz w:val="24"/>
          <w:szCs w:val="24"/>
        </w:rPr>
        <w:t>tendrá</w:t>
      </w:r>
      <w:r>
        <w:rPr>
          <w:rFonts w:ascii="Arial" w:hAnsi="Arial" w:cs="Arial"/>
          <w:sz w:val="24"/>
          <w:szCs w:val="24"/>
        </w:rPr>
        <w:t xml:space="preserve"> la parte demanda para justificar su inasistencia es el recurso de apelación contra la misma.</w:t>
      </w:r>
    </w:p>
    <w:p w:rsidR="00A878E0" w:rsidRDefault="00A878E0" w:rsidP="00A878E0">
      <w:pPr>
        <w:spacing w:line="360" w:lineRule="auto"/>
        <w:rPr>
          <w:rFonts w:ascii="Arial" w:hAnsi="Arial" w:cs="Arial"/>
          <w:sz w:val="24"/>
          <w:szCs w:val="24"/>
        </w:rPr>
      </w:pPr>
    </w:p>
    <w:p w:rsidR="007D7295" w:rsidRPr="00A878E0" w:rsidRDefault="00D748C7" w:rsidP="00A878E0">
      <w:pPr>
        <w:spacing w:line="360" w:lineRule="auto"/>
        <w:ind w:firstLine="708"/>
        <w:rPr>
          <w:rFonts w:ascii="Arial" w:hAnsi="Arial" w:cs="Arial"/>
          <w:sz w:val="24"/>
          <w:szCs w:val="24"/>
        </w:rPr>
      </w:pPr>
      <w:r w:rsidRPr="00A878E0">
        <w:rPr>
          <w:rFonts w:ascii="Arial" w:hAnsi="Arial" w:cs="Arial"/>
          <w:b/>
          <w:sz w:val="24"/>
          <w:szCs w:val="24"/>
        </w:rPr>
        <w:t>2.5 Incomparecencia del abogado</w:t>
      </w:r>
    </w:p>
    <w:p w:rsidR="0024151E" w:rsidRDefault="00D748C7" w:rsidP="00F45FB3">
      <w:pPr>
        <w:spacing w:line="360" w:lineRule="auto"/>
        <w:jc w:val="both"/>
        <w:rPr>
          <w:rFonts w:ascii="Arial" w:hAnsi="Arial" w:cs="Arial"/>
          <w:sz w:val="24"/>
          <w:szCs w:val="24"/>
        </w:rPr>
      </w:pPr>
      <w:r>
        <w:rPr>
          <w:rFonts w:ascii="Arial" w:hAnsi="Arial" w:cs="Arial"/>
          <w:sz w:val="24"/>
          <w:szCs w:val="24"/>
        </w:rPr>
        <w:t>En esta sección veremos que sucede si la parte comparece</w:t>
      </w:r>
      <w:r w:rsidR="008E5C19">
        <w:rPr>
          <w:rFonts w:ascii="Arial" w:hAnsi="Arial" w:cs="Arial"/>
          <w:sz w:val="24"/>
          <w:szCs w:val="24"/>
        </w:rPr>
        <w:t>,</w:t>
      </w:r>
      <w:r>
        <w:rPr>
          <w:rFonts w:ascii="Arial" w:hAnsi="Arial" w:cs="Arial"/>
          <w:sz w:val="24"/>
          <w:szCs w:val="24"/>
        </w:rPr>
        <w:t xml:space="preserve"> pero </w:t>
      </w:r>
      <w:r w:rsidR="0024151E">
        <w:rPr>
          <w:rFonts w:ascii="Arial" w:hAnsi="Arial" w:cs="Arial"/>
          <w:sz w:val="24"/>
          <w:szCs w:val="24"/>
        </w:rPr>
        <w:t xml:space="preserve">lo hace </w:t>
      </w:r>
      <w:r>
        <w:rPr>
          <w:rFonts w:ascii="Arial" w:hAnsi="Arial" w:cs="Arial"/>
          <w:sz w:val="24"/>
          <w:szCs w:val="24"/>
        </w:rPr>
        <w:t>sin su abogado.</w:t>
      </w:r>
      <w:r w:rsidR="0024151E">
        <w:rPr>
          <w:rFonts w:ascii="Arial" w:hAnsi="Arial" w:cs="Arial"/>
          <w:sz w:val="24"/>
          <w:szCs w:val="24"/>
        </w:rPr>
        <w:t xml:space="preserve"> Para </w:t>
      </w:r>
      <w:r w:rsidR="008E5C19">
        <w:rPr>
          <w:rFonts w:ascii="Arial" w:hAnsi="Arial" w:cs="Arial"/>
          <w:sz w:val="24"/>
          <w:szCs w:val="24"/>
        </w:rPr>
        <w:t>ello debemos tener en cuenta tres</w:t>
      </w:r>
      <w:r w:rsidR="0024151E">
        <w:rPr>
          <w:rFonts w:ascii="Arial" w:hAnsi="Arial" w:cs="Arial"/>
          <w:sz w:val="24"/>
          <w:szCs w:val="24"/>
        </w:rPr>
        <w:t xml:space="preserve"> normas. </w:t>
      </w:r>
    </w:p>
    <w:p w:rsidR="00ED6A5E" w:rsidRDefault="0024151E" w:rsidP="00F45FB3">
      <w:pPr>
        <w:spacing w:line="360" w:lineRule="auto"/>
        <w:jc w:val="both"/>
        <w:rPr>
          <w:rFonts w:ascii="Arial" w:hAnsi="Arial" w:cs="Arial"/>
          <w:sz w:val="24"/>
          <w:szCs w:val="24"/>
        </w:rPr>
      </w:pPr>
      <w:r>
        <w:rPr>
          <w:rFonts w:ascii="Arial" w:hAnsi="Arial" w:cs="Arial"/>
          <w:sz w:val="24"/>
          <w:szCs w:val="24"/>
        </w:rPr>
        <w:t>En primer lugar, e</w:t>
      </w:r>
      <w:r w:rsidR="00D748C7">
        <w:rPr>
          <w:rFonts w:ascii="Arial" w:hAnsi="Arial" w:cs="Arial"/>
          <w:sz w:val="24"/>
          <w:szCs w:val="24"/>
        </w:rPr>
        <w:t>l artículo</w:t>
      </w:r>
      <w:r w:rsidR="00002A11">
        <w:rPr>
          <w:rFonts w:ascii="Arial" w:hAnsi="Arial" w:cs="Arial"/>
          <w:sz w:val="24"/>
          <w:szCs w:val="24"/>
        </w:rPr>
        <w:t xml:space="preserve"> 37.1 del C.G.P.</w:t>
      </w:r>
      <w:r>
        <w:rPr>
          <w:rFonts w:ascii="Arial" w:hAnsi="Arial" w:cs="Arial"/>
          <w:sz w:val="24"/>
          <w:szCs w:val="24"/>
        </w:rPr>
        <w:t xml:space="preserve"> </w:t>
      </w:r>
      <w:r w:rsidR="00D748C7">
        <w:rPr>
          <w:rFonts w:ascii="Arial" w:hAnsi="Arial" w:cs="Arial"/>
          <w:sz w:val="24"/>
          <w:szCs w:val="24"/>
        </w:rPr>
        <w:t>nos dice que las partes deben comparecer a todos los actos del p</w:t>
      </w:r>
      <w:r>
        <w:rPr>
          <w:rFonts w:ascii="Arial" w:hAnsi="Arial" w:cs="Arial"/>
          <w:sz w:val="24"/>
          <w:szCs w:val="24"/>
        </w:rPr>
        <w:t xml:space="preserve">roceso asistidas por su abogado, debiendo el juez impedir las actuaciones que se pretendan realizar sin esa asistencia. </w:t>
      </w:r>
    </w:p>
    <w:p w:rsidR="00E04AC2" w:rsidRDefault="0024151E" w:rsidP="00F45FB3">
      <w:pPr>
        <w:spacing w:line="360" w:lineRule="auto"/>
        <w:jc w:val="both"/>
        <w:rPr>
          <w:rFonts w:ascii="Arial" w:hAnsi="Arial" w:cs="Arial"/>
          <w:sz w:val="24"/>
          <w:szCs w:val="24"/>
        </w:rPr>
      </w:pPr>
      <w:r>
        <w:rPr>
          <w:rFonts w:ascii="Arial" w:hAnsi="Arial" w:cs="Arial"/>
          <w:sz w:val="24"/>
          <w:szCs w:val="24"/>
        </w:rPr>
        <w:t>En segundo lugar</w:t>
      </w:r>
      <w:r w:rsidR="00002A11">
        <w:rPr>
          <w:rFonts w:ascii="Arial" w:hAnsi="Arial" w:cs="Arial"/>
          <w:sz w:val="24"/>
          <w:szCs w:val="24"/>
        </w:rPr>
        <w:t xml:space="preserve">, el artículo 340.1 del C.G.P dispone: “Todo, sin perjuicio del patrocinio letrado obligatorio”. </w:t>
      </w:r>
    </w:p>
    <w:p w:rsidR="00135779" w:rsidRDefault="00002A11" w:rsidP="00F45FB3">
      <w:pPr>
        <w:spacing w:line="360" w:lineRule="auto"/>
        <w:jc w:val="both"/>
        <w:rPr>
          <w:rFonts w:ascii="Arial" w:hAnsi="Arial" w:cs="Arial"/>
          <w:sz w:val="24"/>
          <w:szCs w:val="24"/>
        </w:rPr>
      </w:pPr>
      <w:r>
        <w:rPr>
          <w:rFonts w:ascii="Arial" w:hAnsi="Arial" w:cs="Arial"/>
          <w:sz w:val="24"/>
          <w:szCs w:val="24"/>
        </w:rPr>
        <w:lastRenderedPageBreak/>
        <w:t xml:space="preserve">Por último, </w:t>
      </w:r>
      <w:r w:rsidR="0024151E">
        <w:rPr>
          <w:rFonts w:ascii="Arial" w:hAnsi="Arial" w:cs="Arial"/>
          <w:sz w:val="24"/>
          <w:szCs w:val="24"/>
        </w:rPr>
        <w:t xml:space="preserve">tenemos el artículo 340.5 del mismo cuerpo legal, el cual establece lo siguiente: “Las consecuencias previstas en los artículos 340.2 y 340.3, no serán aplicables cuando en una audiencia anterior se hubieran agotado las etapas a que refieren los numerales 1), 2), y 3) del </w:t>
      </w:r>
      <w:r w:rsidR="0018765C">
        <w:rPr>
          <w:rFonts w:ascii="Arial" w:hAnsi="Arial" w:cs="Arial"/>
          <w:sz w:val="24"/>
          <w:szCs w:val="24"/>
        </w:rPr>
        <w:t>artículo</w:t>
      </w:r>
      <w:r w:rsidR="0024151E">
        <w:rPr>
          <w:rFonts w:ascii="Arial" w:hAnsi="Arial" w:cs="Arial"/>
          <w:sz w:val="24"/>
          <w:szCs w:val="24"/>
        </w:rPr>
        <w:t xml:space="preserve"> 341. Tampoco se aplicaran a la parte que concurra sin asistencia letrada, en cuyo caso se cumplirá </w:t>
      </w:r>
      <w:r w:rsidR="0018765C">
        <w:rPr>
          <w:rFonts w:ascii="Arial" w:hAnsi="Arial" w:cs="Arial"/>
          <w:sz w:val="24"/>
          <w:szCs w:val="24"/>
        </w:rPr>
        <w:t>la actividad correspondiente, conforme con lo previsto por el artículo 341.”</w:t>
      </w:r>
    </w:p>
    <w:p w:rsidR="00002A11" w:rsidRDefault="00002A11" w:rsidP="00F45FB3">
      <w:pPr>
        <w:spacing w:line="360" w:lineRule="auto"/>
        <w:jc w:val="both"/>
        <w:rPr>
          <w:rFonts w:ascii="Arial" w:hAnsi="Arial" w:cs="Arial"/>
          <w:sz w:val="24"/>
          <w:szCs w:val="24"/>
        </w:rPr>
      </w:pPr>
      <w:r>
        <w:rPr>
          <w:rFonts w:ascii="Arial" w:hAnsi="Arial" w:cs="Arial"/>
          <w:sz w:val="24"/>
          <w:szCs w:val="24"/>
        </w:rPr>
        <w:t xml:space="preserve">En el viejo régimen, antes de la Ley 19.090, </w:t>
      </w:r>
      <w:r w:rsidR="00BE4F6F">
        <w:rPr>
          <w:rFonts w:ascii="Arial" w:hAnsi="Arial" w:cs="Arial"/>
          <w:sz w:val="24"/>
          <w:szCs w:val="24"/>
        </w:rPr>
        <w:t>no había una norma que regulara expresamente esta situación. Se entendía entonces</w:t>
      </w:r>
      <w:r w:rsidR="008E5C19">
        <w:rPr>
          <w:rFonts w:ascii="Arial" w:hAnsi="Arial" w:cs="Arial"/>
          <w:sz w:val="24"/>
          <w:szCs w:val="24"/>
        </w:rPr>
        <w:t>, según GUERRA</w:t>
      </w:r>
      <w:r w:rsidR="008E5C19">
        <w:rPr>
          <w:rStyle w:val="Refdenotaalpie"/>
          <w:rFonts w:ascii="Arial" w:hAnsi="Arial" w:cs="Arial"/>
          <w:sz w:val="24"/>
          <w:szCs w:val="24"/>
        </w:rPr>
        <w:footnoteReference w:id="6"/>
      </w:r>
      <w:r w:rsidR="008E5C19">
        <w:rPr>
          <w:rFonts w:ascii="Arial" w:hAnsi="Arial" w:cs="Arial"/>
          <w:sz w:val="24"/>
          <w:szCs w:val="24"/>
        </w:rPr>
        <w:t>, que</w:t>
      </w:r>
      <w:r w:rsidR="00BE4F6F">
        <w:rPr>
          <w:rFonts w:ascii="Arial" w:hAnsi="Arial" w:cs="Arial"/>
          <w:sz w:val="24"/>
          <w:szCs w:val="24"/>
        </w:rPr>
        <w:t xml:space="preserve"> </w:t>
      </w:r>
      <w:r w:rsidR="00E04AC2">
        <w:rPr>
          <w:rFonts w:ascii="Arial" w:hAnsi="Arial" w:cs="Arial"/>
          <w:sz w:val="24"/>
          <w:szCs w:val="24"/>
        </w:rPr>
        <w:t>cuando el abogado no comparecía pero sí</w:t>
      </w:r>
      <w:r>
        <w:rPr>
          <w:rFonts w:ascii="Arial" w:hAnsi="Arial" w:cs="Arial"/>
          <w:sz w:val="24"/>
          <w:szCs w:val="24"/>
        </w:rPr>
        <w:t xml:space="preserve"> lo h</w:t>
      </w:r>
      <w:r w:rsidR="00E04AC2">
        <w:rPr>
          <w:rFonts w:ascii="Arial" w:hAnsi="Arial" w:cs="Arial"/>
          <w:sz w:val="24"/>
          <w:szCs w:val="24"/>
        </w:rPr>
        <w:t>acia</w:t>
      </w:r>
      <w:r>
        <w:rPr>
          <w:rFonts w:ascii="Arial" w:hAnsi="Arial" w:cs="Arial"/>
          <w:sz w:val="24"/>
          <w:szCs w:val="24"/>
        </w:rPr>
        <w:t xml:space="preserve"> la parte, </w:t>
      </w:r>
      <w:r w:rsidR="00E04AC2">
        <w:rPr>
          <w:rFonts w:ascii="Arial" w:hAnsi="Arial" w:cs="Arial"/>
          <w:sz w:val="24"/>
          <w:szCs w:val="24"/>
        </w:rPr>
        <w:t>la</w:t>
      </w:r>
      <w:r>
        <w:rPr>
          <w:rFonts w:ascii="Arial" w:hAnsi="Arial" w:cs="Arial"/>
          <w:sz w:val="24"/>
          <w:szCs w:val="24"/>
        </w:rPr>
        <w:t xml:space="preserve"> consecuencia </w:t>
      </w:r>
      <w:r w:rsidR="00E04AC2">
        <w:rPr>
          <w:rFonts w:ascii="Arial" w:hAnsi="Arial" w:cs="Arial"/>
          <w:sz w:val="24"/>
          <w:szCs w:val="24"/>
        </w:rPr>
        <w:t xml:space="preserve">de esto era </w:t>
      </w:r>
      <w:r>
        <w:rPr>
          <w:rFonts w:ascii="Arial" w:hAnsi="Arial" w:cs="Arial"/>
          <w:sz w:val="24"/>
          <w:szCs w:val="24"/>
        </w:rPr>
        <w:t>que se le apli</w:t>
      </w:r>
      <w:r w:rsidR="00E04AC2">
        <w:rPr>
          <w:rFonts w:ascii="Arial" w:hAnsi="Arial" w:cs="Arial"/>
          <w:sz w:val="24"/>
          <w:szCs w:val="24"/>
        </w:rPr>
        <w:t>caba</w:t>
      </w:r>
      <w:r>
        <w:rPr>
          <w:rFonts w:ascii="Arial" w:hAnsi="Arial" w:cs="Arial"/>
          <w:sz w:val="24"/>
          <w:szCs w:val="24"/>
        </w:rPr>
        <w:t xml:space="preserve"> a esta ultima las graves sanciones que el C.G.P dispone para la incomparecencia a la audiencia preliminar, sanciones </w:t>
      </w:r>
      <w:r w:rsidR="00BE4F6F">
        <w:rPr>
          <w:rFonts w:ascii="Arial" w:hAnsi="Arial" w:cs="Arial"/>
          <w:sz w:val="24"/>
          <w:szCs w:val="24"/>
        </w:rPr>
        <w:t xml:space="preserve">de </w:t>
      </w:r>
      <w:r>
        <w:rPr>
          <w:rFonts w:ascii="Arial" w:hAnsi="Arial" w:cs="Arial"/>
          <w:sz w:val="24"/>
          <w:szCs w:val="24"/>
        </w:rPr>
        <w:t xml:space="preserve">las cuales ya </w:t>
      </w:r>
      <w:r w:rsidR="00BE4F6F">
        <w:rPr>
          <w:rFonts w:ascii="Arial" w:hAnsi="Arial" w:cs="Arial"/>
          <w:sz w:val="24"/>
          <w:szCs w:val="24"/>
        </w:rPr>
        <w:t>hablamos en este trabajo.</w:t>
      </w:r>
      <w:r>
        <w:rPr>
          <w:rFonts w:ascii="Arial" w:hAnsi="Arial" w:cs="Arial"/>
          <w:sz w:val="24"/>
          <w:szCs w:val="24"/>
        </w:rPr>
        <w:t xml:space="preserve"> </w:t>
      </w:r>
    </w:p>
    <w:p w:rsidR="006C5428" w:rsidRDefault="00BE4F6F" w:rsidP="00F45FB3">
      <w:pPr>
        <w:spacing w:line="360" w:lineRule="auto"/>
        <w:jc w:val="both"/>
        <w:rPr>
          <w:rFonts w:ascii="Arial" w:hAnsi="Arial" w:cs="Arial"/>
          <w:sz w:val="24"/>
          <w:szCs w:val="24"/>
        </w:rPr>
      </w:pPr>
      <w:r>
        <w:rPr>
          <w:rFonts w:ascii="Arial" w:hAnsi="Arial" w:cs="Arial"/>
          <w:sz w:val="24"/>
          <w:szCs w:val="24"/>
        </w:rPr>
        <w:t xml:space="preserve">Sin </w:t>
      </w:r>
      <w:r w:rsidR="00354066">
        <w:rPr>
          <w:rFonts w:ascii="Arial" w:hAnsi="Arial" w:cs="Arial"/>
          <w:sz w:val="24"/>
          <w:szCs w:val="24"/>
        </w:rPr>
        <w:t xml:space="preserve">embargo, la nueva redacción del C.G.P regulo expresamente la hipótesis </w:t>
      </w:r>
      <w:r w:rsidR="00E04AC2">
        <w:rPr>
          <w:rFonts w:ascii="Arial" w:hAnsi="Arial" w:cs="Arial"/>
          <w:sz w:val="24"/>
          <w:szCs w:val="24"/>
        </w:rPr>
        <w:t>en la cual</w:t>
      </w:r>
      <w:r w:rsidR="00354066">
        <w:rPr>
          <w:rFonts w:ascii="Arial" w:hAnsi="Arial" w:cs="Arial"/>
          <w:sz w:val="24"/>
          <w:szCs w:val="24"/>
        </w:rPr>
        <w:t xml:space="preserve"> la parte comparec</w:t>
      </w:r>
      <w:r w:rsidR="00E04AC2">
        <w:rPr>
          <w:rFonts w:ascii="Arial" w:hAnsi="Arial" w:cs="Arial"/>
          <w:sz w:val="24"/>
          <w:szCs w:val="24"/>
        </w:rPr>
        <w:t>e</w:t>
      </w:r>
      <w:r w:rsidR="00354066">
        <w:rPr>
          <w:rFonts w:ascii="Arial" w:hAnsi="Arial" w:cs="Arial"/>
          <w:sz w:val="24"/>
          <w:szCs w:val="24"/>
        </w:rPr>
        <w:t xml:space="preserve"> sin su abogado.</w:t>
      </w:r>
      <w:r w:rsidR="00E04AC2">
        <w:rPr>
          <w:rFonts w:ascii="Arial" w:hAnsi="Arial" w:cs="Arial"/>
          <w:sz w:val="24"/>
          <w:szCs w:val="24"/>
        </w:rPr>
        <w:t xml:space="preserve"> Esta regulación la hizo</w:t>
      </w:r>
      <w:r w:rsidR="00354066">
        <w:rPr>
          <w:rFonts w:ascii="Arial" w:hAnsi="Arial" w:cs="Arial"/>
          <w:sz w:val="24"/>
          <w:szCs w:val="24"/>
        </w:rPr>
        <w:t xml:space="preserve"> el actual artículo 340.5, el cual </w:t>
      </w:r>
      <w:r w:rsidR="00E04AC2">
        <w:rPr>
          <w:rFonts w:ascii="Arial" w:hAnsi="Arial" w:cs="Arial"/>
          <w:sz w:val="24"/>
          <w:szCs w:val="24"/>
        </w:rPr>
        <w:t xml:space="preserve">ya </w:t>
      </w:r>
      <w:r w:rsidR="00354066">
        <w:rPr>
          <w:rFonts w:ascii="Arial" w:hAnsi="Arial" w:cs="Arial"/>
          <w:sz w:val="24"/>
          <w:szCs w:val="24"/>
        </w:rPr>
        <w:t xml:space="preserve">transcribimos ut supra. </w:t>
      </w:r>
      <w:r w:rsidR="00E04AC2">
        <w:rPr>
          <w:rFonts w:ascii="Arial" w:hAnsi="Arial" w:cs="Arial"/>
          <w:sz w:val="24"/>
          <w:szCs w:val="24"/>
        </w:rPr>
        <w:t xml:space="preserve">Del mencionado artículo, se desprende en forma clara que </w:t>
      </w:r>
      <w:r w:rsidR="00906C77">
        <w:rPr>
          <w:rFonts w:ascii="Arial" w:hAnsi="Arial" w:cs="Arial"/>
          <w:sz w:val="24"/>
          <w:szCs w:val="24"/>
        </w:rPr>
        <w:t>si comparece la parte sin asistencia letrada, no se le aplicaran las perjudiciales sanciones que establece</w:t>
      </w:r>
      <w:r w:rsidR="006075A1">
        <w:rPr>
          <w:rFonts w:ascii="Arial" w:hAnsi="Arial" w:cs="Arial"/>
          <w:sz w:val="24"/>
          <w:szCs w:val="24"/>
        </w:rPr>
        <w:t>n los artículos 340.2 y 340.3</w:t>
      </w:r>
      <w:r w:rsidR="00906C77">
        <w:rPr>
          <w:rFonts w:ascii="Arial" w:hAnsi="Arial" w:cs="Arial"/>
          <w:sz w:val="24"/>
          <w:szCs w:val="24"/>
        </w:rPr>
        <w:t xml:space="preserve"> </w:t>
      </w:r>
      <w:r w:rsidR="006075A1">
        <w:rPr>
          <w:rFonts w:ascii="Arial" w:hAnsi="Arial" w:cs="Arial"/>
          <w:sz w:val="24"/>
          <w:szCs w:val="24"/>
        </w:rPr>
        <w:t>d</w:t>
      </w:r>
      <w:r w:rsidR="00906C77">
        <w:rPr>
          <w:rFonts w:ascii="Arial" w:hAnsi="Arial" w:cs="Arial"/>
          <w:sz w:val="24"/>
          <w:szCs w:val="24"/>
        </w:rPr>
        <w:t>el C.G.P.</w:t>
      </w:r>
      <w:r w:rsidR="006075A1">
        <w:rPr>
          <w:rFonts w:ascii="Arial" w:hAnsi="Arial" w:cs="Arial"/>
          <w:sz w:val="24"/>
          <w:szCs w:val="24"/>
        </w:rPr>
        <w:t>:</w:t>
      </w:r>
      <w:r w:rsidR="00906C77">
        <w:rPr>
          <w:rFonts w:ascii="Arial" w:hAnsi="Arial" w:cs="Arial"/>
          <w:sz w:val="24"/>
          <w:szCs w:val="24"/>
        </w:rPr>
        <w:t xml:space="preserve"> el desistimiento de la pretensión (para la parte actora) o, tenerse por ciertos los hechos afirmados por el actor (para la parte demandada). </w:t>
      </w:r>
    </w:p>
    <w:p w:rsidR="00A878E0" w:rsidRDefault="00A878E0" w:rsidP="00A878E0">
      <w:pPr>
        <w:spacing w:line="360" w:lineRule="auto"/>
        <w:rPr>
          <w:rFonts w:ascii="Arial" w:hAnsi="Arial" w:cs="Arial"/>
          <w:b/>
          <w:sz w:val="28"/>
          <w:szCs w:val="28"/>
          <w:u w:val="single"/>
        </w:rPr>
      </w:pPr>
    </w:p>
    <w:p w:rsidR="006C5428" w:rsidRDefault="006C5428" w:rsidP="00A878E0">
      <w:pPr>
        <w:spacing w:line="360" w:lineRule="auto"/>
        <w:ind w:firstLine="708"/>
        <w:rPr>
          <w:rFonts w:ascii="Arial" w:hAnsi="Arial" w:cs="Arial"/>
          <w:b/>
          <w:sz w:val="28"/>
          <w:szCs w:val="28"/>
          <w:u w:val="single"/>
        </w:rPr>
      </w:pPr>
      <w:r>
        <w:rPr>
          <w:rFonts w:ascii="Arial" w:hAnsi="Arial" w:cs="Arial"/>
          <w:b/>
          <w:sz w:val="28"/>
          <w:szCs w:val="28"/>
          <w:u w:val="single"/>
        </w:rPr>
        <w:t>3. Jurisprudencia</w:t>
      </w:r>
    </w:p>
    <w:p w:rsidR="0051106C" w:rsidRDefault="0051106C" w:rsidP="00F45FB3">
      <w:pPr>
        <w:spacing w:line="360" w:lineRule="auto"/>
        <w:jc w:val="both"/>
        <w:rPr>
          <w:rFonts w:ascii="Arial" w:hAnsi="Arial" w:cs="Arial"/>
          <w:sz w:val="24"/>
          <w:szCs w:val="24"/>
        </w:rPr>
      </w:pPr>
      <w:r>
        <w:rPr>
          <w:rFonts w:ascii="Arial" w:hAnsi="Arial" w:cs="Arial"/>
          <w:sz w:val="24"/>
          <w:szCs w:val="24"/>
        </w:rPr>
        <w:t xml:space="preserve">Cumpliendo con lo que dijimos en el capítulo introductorio, </w:t>
      </w:r>
      <w:r w:rsidR="00FE42FD">
        <w:rPr>
          <w:rFonts w:ascii="Arial" w:hAnsi="Arial" w:cs="Arial"/>
          <w:sz w:val="24"/>
          <w:szCs w:val="24"/>
        </w:rPr>
        <w:t>procederemos ahora a incorporar</w:t>
      </w:r>
      <w:r>
        <w:rPr>
          <w:rFonts w:ascii="Arial" w:hAnsi="Arial" w:cs="Arial"/>
          <w:sz w:val="24"/>
          <w:szCs w:val="24"/>
        </w:rPr>
        <w:t xml:space="preserve"> fragmentos de </w:t>
      </w:r>
      <w:r w:rsidR="00FE42FD">
        <w:rPr>
          <w:rFonts w:ascii="Arial" w:hAnsi="Arial" w:cs="Arial"/>
          <w:sz w:val="24"/>
          <w:szCs w:val="24"/>
        </w:rPr>
        <w:t xml:space="preserve">una sentencia </w:t>
      </w:r>
      <w:r w:rsidR="0031107D">
        <w:rPr>
          <w:rFonts w:ascii="Arial" w:hAnsi="Arial" w:cs="Arial"/>
          <w:sz w:val="24"/>
          <w:szCs w:val="24"/>
        </w:rPr>
        <w:t>extraída</w:t>
      </w:r>
      <w:r w:rsidR="00FE42FD">
        <w:rPr>
          <w:rFonts w:ascii="Arial" w:hAnsi="Arial" w:cs="Arial"/>
          <w:sz w:val="24"/>
          <w:szCs w:val="24"/>
        </w:rPr>
        <w:t xml:space="preserve"> de la Base de Jurisprudencia Nacional</w:t>
      </w:r>
      <w:r w:rsidR="0031107D">
        <w:rPr>
          <w:rFonts w:ascii="Arial" w:hAnsi="Arial" w:cs="Arial"/>
          <w:sz w:val="24"/>
          <w:szCs w:val="24"/>
        </w:rPr>
        <w:t xml:space="preserve">, la cual nos pareció interesante no solo por su estrecha vinculación con el tema, sino también porque en ella se expone el criterio que utiliza el tribunal, a la hora de determinar si se ha justificado o no la incomparecencia, teniendo en cuenta las duras consecuencias que esto </w:t>
      </w:r>
      <w:r w:rsidR="002344D0">
        <w:rPr>
          <w:rFonts w:ascii="Arial" w:hAnsi="Arial" w:cs="Arial"/>
          <w:sz w:val="24"/>
          <w:szCs w:val="24"/>
        </w:rPr>
        <w:t>puede acarrear para las partes.</w:t>
      </w:r>
      <w:r w:rsidR="0031107D">
        <w:rPr>
          <w:rFonts w:ascii="Arial" w:hAnsi="Arial" w:cs="Arial"/>
          <w:sz w:val="24"/>
          <w:szCs w:val="24"/>
        </w:rPr>
        <w:t xml:space="preserve"> </w:t>
      </w:r>
    </w:p>
    <w:p w:rsidR="00FE42FD" w:rsidRPr="00FE42FD" w:rsidRDefault="0031107D" w:rsidP="00F45FB3">
      <w:pPr>
        <w:spacing w:line="360" w:lineRule="auto"/>
        <w:jc w:val="both"/>
        <w:rPr>
          <w:rFonts w:ascii="Arial" w:hAnsi="Arial" w:cs="Arial"/>
          <w:sz w:val="24"/>
          <w:szCs w:val="24"/>
        </w:rPr>
      </w:pPr>
      <w:r>
        <w:rPr>
          <w:rFonts w:ascii="Arial" w:hAnsi="Arial" w:cs="Arial"/>
          <w:sz w:val="24"/>
          <w:szCs w:val="24"/>
        </w:rPr>
        <w:lastRenderedPageBreak/>
        <w:t>La s</w:t>
      </w:r>
      <w:r w:rsidR="00FE42FD">
        <w:rPr>
          <w:rFonts w:ascii="Arial" w:hAnsi="Arial" w:cs="Arial"/>
          <w:sz w:val="24"/>
          <w:szCs w:val="24"/>
        </w:rPr>
        <w:t xml:space="preserve">entencia 112/2019 del Tribunal de Apelaciones en lo </w:t>
      </w:r>
      <w:r>
        <w:rPr>
          <w:rFonts w:ascii="Arial" w:hAnsi="Arial" w:cs="Arial"/>
          <w:sz w:val="24"/>
          <w:szCs w:val="24"/>
        </w:rPr>
        <w:t>Civil de 6° T</w:t>
      </w:r>
      <w:r w:rsidR="00FE42FD">
        <w:rPr>
          <w:rFonts w:ascii="Arial" w:hAnsi="Arial" w:cs="Arial"/>
          <w:sz w:val="24"/>
          <w:szCs w:val="24"/>
        </w:rPr>
        <w:t>urno, establece en</w:t>
      </w:r>
      <w:r w:rsidR="008E5C19">
        <w:rPr>
          <w:rFonts w:ascii="Arial" w:hAnsi="Arial" w:cs="Arial"/>
          <w:sz w:val="24"/>
          <w:szCs w:val="24"/>
        </w:rPr>
        <w:t xml:space="preserve"> sus Considerandos lo siguiente:</w:t>
      </w:r>
      <w:r w:rsidR="00FE42FD">
        <w:rPr>
          <w:rFonts w:ascii="Arial" w:hAnsi="Arial" w:cs="Arial"/>
          <w:sz w:val="24"/>
          <w:szCs w:val="24"/>
        </w:rPr>
        <w:t xml:space="preserve"> </w:t>
      </w:r>
    </w:p>
    <w:p w:rsidR="00FE42FD" w:rsidRPr="00FE42FD" w:rsidRDefault="00FE42FD" w:rsidP="00F45FB3">
      <w:pPr>
        <w:spacing w:line="360" w:lineRule="auto"/>
        <w:jc w:val="both"/>
        <w:rPr>
          <w:rFonts w:ascii="Arial" w:hAnsi="Arial" w:cs="Arial"/>
          <w:sz w:val="24"/>
          <w:szCs w:val="24"/>
        </w:rPr>
      </w:pPr>
      <w:r>
        <w:rPr>
          <w:rFonts w:ascii="Arial" w:hAnsi="Arial" w:cs="Arial"/>
          <w:sz w:val="24"/>
          <w:szCs w:val="24"/>
        </w:rPr>
        <w:t>“</w:t>
      </w:r>
      <w:r w:rsidRPr="00FE42FD">
        <w:rPr>
          <w:rFonts w:ascii="Arial" w:hAnsi="Arial" w:cs="Arial"/>
          <w:sz w:val="24"/>
          <w:szCs w:val="24"/>
        </w:rPr>
        <w:t>Este Tribunal ya ha manifestado en anteriores pronunciamientos que considera que atento a la consecuencia, a la sanción tan severa y drástica que acarrea la incomparecencia de las partes a la audiencia preliminar y en el caso específico, del actor, la causal de fuerza mayor esgrimida para su justificación debe ser apr</w:t>
      </w:r>
      <w:r>
        <w:rPr>
          <w:rFonts w:ascii="Arial" w:hAnsi="Arial" w:cs="Arial"/>
          <w:sz w:val="24"/>
          <w:szCs w:val="24"/>
        </w:rPr>
        <w:t>eciada con un criterio flexible.”</w:t>
      </w:r>
    </w:p>
    <w:p w:rsidR="00FE42FD" w:rsidRPr="00FE42FD" w:rsidRDefault="00FE42FD" w:rsidP="00F45FB3">
      <w:pPr>
        <w:spacing w:line="360" w:lineRule="auto"/>
        <w:jc w:val="both"/>
        <w:rPr>
          <w:rFonts w:ascii="Arial" w:hAnsi="Arial" w:cs="Arial"/>
          <w:sz w:val="24"/>
          <w:szCs w:val="24"/>
        </w:rPr>
      </w:pPr>
      <w:r>
        <w:rPr>
          <w:rFonts w:ascii="Arial" w:hAnsi="Arial" w:cs="Arial"/>
          <w:sz w:val="24"/>
          <w:szCs w:val="24"/>
        </w:rPr>
        <w:t>“</w:t>
      </w:r>
      <w:r w:rsidRPr="00FE42FD">
        <w:rPr>
          <w:rFonts w:ascii="Arial" w:hAnsi="Arial" w:cs="Arial"/>
          <w:sz w:val="24"/>
          <w:szCs w:val="24"/>
        </w:rPr>
        <w:t>Se compar</w:t>
      </w:r>
      <w:r>
        <w:rPr>
          <w:rFonts w:ascii="Arial" w:hAnsi="Arial" w:cs="Arial"/>
          <w:sz w:val="24"/>
          <w:szCs w:val="24"/>
        </w:rPr>
        <w:t>te al respecto lo sostenido en Judicatura No. 30</w:t>
      </w:r>
      <w:r w:rsidRPr="00FE42FD">
        <w:rPr>
          <w:rFonts w:ascii="Arial" w:hAnsi="Arial" w:cs="Arial"/>
          <w:sz w:val="24"/>
          <w:szCs w:val="24"/>
        </w:rPr>
        <w:t xml:space="preserve"> en cuanto a que debe estarse al caso concreto y utilizar un criterio de razonable flexibilización, ni una flexibilización tan laxa que en realidad no haya ningún control ni tan cerrada que haga que se frustren derechos que podrían no frustrarse (fs. 11).</w:t>
      </w:r>
      <w:r>
        <w:rPr>
          <w:rFonts w:ascii="Arial" w:hAnsi="Arial" w:cs="Arial"/>
          <w:sz w:val="24"/>
          <w:szCs w:val="24"/>
        </w:rPr>
        <w:t>”</w:t>
      </w:r>
    </w:p>
    <w:p w:rsidR="00FE42FD" w:rsidRPr="00FE42FD" w:rsidRDefault="0031107D" w:rsidP="00F45FB3">
      <w:pPr>
        <w:spacing w:line="360" w:lineRule="auto"/>
        <w:jc w:val="both"/>
        <w:rPr>
          <w:rFonts w:ascii="Arial" w:hAnsi="Arial" w:cs="Arial"/>
          <w:sz w:val="24"/>
          <w:szCs w:val="24"/>
        </w:rPr>
      </w:pPr>
      <w:r>
        <w:rPr>
          <w:rFonts w:ascii="Arial" w:hAnsi="Arial" w:cs="Arial"/>
          <w:sz w:val="24"/>
          <w:szCs w:val="24"/>
        </w:rPr>
        <w:t>“</w:t>
      </w:r>
      <w:r w:rsidR="00FE42FD" w:rsidRPr="00FE42FD">
        <w:rPr>
          <w:rFonts w:ascii="Arial" w:hAnsi="Arial" w:cs="Arial"/>
          <w:sz w:val="24"/>
          <w:szCs w:val="24"/>
        </w:rPr>
        <w:t>Ahora bien, en el específico caso sometido a estudio, en la propia audiencia preliminar, el representante de la parte actora manifestó que ésta se encontraba indispuesta por un problema de salud y solicitó un plazo de 10 días corridos a efectos de acreditar su incomparecencia; a lo que, lógicamente, la parte demandada se opuso; procediendo la “a quo” a tenerlo por desistido de su pretensión (acta de fs. 49 y s</w:t>
      </w:r>
      <w:r>
        <w:rPr>
          <w:rFonts w:ascii="Arial" w:hAnsi="Arial" w:cs="Arial"/>
          <w:sz w:val="24"/>
          <w:szCs w:val="24"/>
        </w:rPr>
        <w:t>i</w:t>
      </w:r>
      <w:r w:rsidR="00FE42FD" w:rsidRPr="00FE42FD">
        <w:rPr>
          <w:rFonts w:ascii="Arial" w:hAnsi="Arial" w:cs="Arial"/>
          <w:sz w:val="24"/>
          <w:szCs w:val="24"/>
        </w:rPr>
        <w:t>g</w:t>
      </w:r>
      <w:r>
        <w:rPr>
          <w:rFonts w:ascii="Arial" w:hAnsi="Arial" w:cs="Arial"/>
          <w:sz w:val="24"/>
          <w:szCs w:val="24"/>
        </w:rPr>
        <w:t>uientes</w:t>
      </w:r>
      <w:r w:rsidR="00FE42FD" w:rsidRPr="00FE42FD">
        <w:rPr>
          <w:rFonts w:ascii="Arial" w:hAnsi="Arial" w:cs="Arial"/>
          <w:sz w:val="24"/>
          <w:szCs w:val="24"/>
        </w:rPr>
        <w:t>).</w:t>
      </w:r>
      <w:r>
        <w:rPr>
          <w:rFonts w:ascii="Arial" w:hAnsi="Arial" w:cs="Arial"/>
          <w:sz w:val="24"/>
          <w:szCs w:val="24"/>
        </w:rPr>
        <w:t>”</w:t>
      </w:r>
    </w:p>
    <w:p w:rsidR="00A878E0" w:rsidRDefault="00FE42FD" w:rsidP="00A878E0">
      <w:pPr>
        <w:spacing w:line="360" w:lineRule="auto"/>
        <w:jc w:val="both"/>
        <w:rPr>
          <w:rFonts w:ascii="Arial" w:hAnsi="Arial" w:cs="Arial"/>
          <w:sz w:val="24"/>
          <w:szCs w:val="24"/>
        </w:rPr>
      </w:pPr>
      <w:r>
        <w:rPr>
          <w:rFonts w:ascii="Arial" w:hAnsi="Arial" w:cs="Arial"/>
          <w:sz w:val="24"/>
          <w:szCs w:val="24"/>
        </w:rPr>
        <w:t>“</w:t>
      </w:r>
      <w:r w:rsidRPr="00FE42FD">
        <w:rPr>
          <w:rFonts w:ascii="Arial" w:hAnsi="Arial" w:cs="Arial"/>
          <w:sz w:val="24"/>
          <w:szCs w:val="24"/>
        </w:rPr>
        <w:t>En el caso sometido a examen, dado que lo actuado fue en audiencia y no se presentó en ella recaudo alguno a efectos de acreditar la situación de salud de la actora, no se justificó su incomparecencia, por lo que no existen razones ni elementos para revocar la impugnada.</w:t>
      </w:r>
      <w:r>
        <w:rPr>
          <w:rFonts w:ascii="Arial" w:hAnsi="Arial" w:cs="Arial"/>
          <w:sz w:val="24"/>
          <w:szCs w:val="24"/>
        </w:rPr>
        <w:t>”</w:t>
      </w:r>
    </w:p>
    <w:p w:rsidR="00A878E0" w:rsidRDefault="00A878E0" w:rsidP="00A878E0">
      <w:pPr>
        <w:spacing w:line="360" w:lineRule="auto"/>
        <w:jc w:val="both"/>
        <w:rPr>
          <w:rFonts w:ascii="Arial" w:hAnsi="Arial" w:cs="Arial"/>
          <w:sz w:val="24"/>
          <w:szCs w:val="24"/>
        </w:rPr>
      </w:pPr>
    </w:p>
    <w:p w:rsidR="0087796A" w:rsidRDefault="0087796A" w:rsidP="00A878E0">
      <w:pPr>
        <w:spacing w:line="360" w:lineRule="auto"/>
        <w:ind w:firstLine="708"/>
        <w:jc w:val="both"/>
        <w:rPr>
          <w:rFonts w:ascii="Arial" w:hAnsi="Arial" w:cs="Arial"/>
          <w:sz w:val="24"/>
          <w:szCs w:val="24"/>
        </w:rPr>
      </w:pPr>
      <w:r>
        <w:rPr>
          <w:rFonts w:ascii="Arial" w:hAnsi="Arial" w:cs="Arial"/>
          <w:b/>
          <w:sz w:val="28"/>
          <w:szCs w:val="28"/>
          <w:u w:val="single"/>
        </w:rPr>
        <w:t>4. Conclusiones</w:t>
      </w:r>
      <w:r w:rsidR="00083130">
        <w:rPr>
          <w:rFonts w:ascii="Arial" w:hAnsi="Arial" w:cs="Arial"/>
          <w:b/>
          <w:sz w:val="28"/>
          <w:szCs w:val="28"/>
          <w:u w:val="single"/>
        </w:rPr>
        <w:t xml:space="preserve"> </w:t>
      </w:r>
    </w:p>
    <w:p w:rsidR="0022547A" w:rsidRDefault="0022547A" w:rsidP="000E272E">
      <w:pPr>
        <w:spacing w:line="360" w:lineRule="auto"/>
        <w:jc w:val="both"/>
        <w:rPr>
          <w:rFonts w:ascii="Arial" w:hAnsi="Arial" w:cs="Arial"/>
          <w:sz w:val="24"/>
          <w:szCs w:val="24"/>
        </w:rPr>
      </w:pPr>
      <w:r>
        <w:rPr>
          <w:rFonts w:ascii="Arial" w:hAnsi="Arial" w:cs="Arial"/>
          <w:sz w:val="24"/>
          <w:szCs w:val="24"/>
        </w:rPr>
        <w:t xml:space="preserve">Haciendo una reflexión sobre lo expuesto a lo largo de este trabajo, concluimos que el tema de la incomparecencia a la audiencia preliminar está lejos de ser un asunto </w:t>
      </w:r>
      <w:r w:rsidR="00897C26">
        <w:rPr>
          <w:rFonts w:ascii="Arial" w:hAnsi="Arial" w:cs="Arial"/>
          <w:sz w:val="24"/>
          <w:szCs w:val="24"/>
        </w:rPr>
        <w:t xml:space="preserve">secundario o </w:t>
      </w:r>
      <w:r>
        <w:rPr>
          <w:rFonts w:ascii="Arial" w:hAnsi="Arial" w:cs="Arial"/>
          <w:sz w:val="24"/>
          <w:szCs w:val="24"/>
        </w:rPr>
        <w:t>accesorio y por el contrario</w:t>
      </w:r>
      <w:r w:rsidR="00897C26">
        <w:rPr>
          <w:rFonts w:ascii="Arial" w:hAnsi="Arial" w:cs="Arial"/>
          <w:sz w:val="24"/>
          <w:szCs w:val="24"/>
        </w:rPr>
        <w:t>,</w:t>
      </w:r>
      <w:r>
        <w:rPr>
          <w:rFonts w:ascii="Arial" w:hAnsi="Arial" w:cs="Arial"/>
          <w:sz w:val="24"/>
          <w:szCs w:val="24"/>
        </w:rPr>
        <w:t xml:space="preserve"> se trata de un aspecto de </w:t>
      </w:r>
      <w:r w:rsidR="00897C26">
        <w:rPr>
          <w:rFonts w:ascii="Arial" w:hAnsi="Arial" w:cs="Arial"/>
          <w:sz w:val="24"/>
          <w:szCs w:val="24"/>
        </w:rPr>
        <w:t xml:space="preserve">crucial y </w:t>
      </w:r>
      <w:r>
        <w:rPr>
          <w:rFonts w:ascii="Arial" w:hAnsi="Arial" w:cs="Arial"/>
          <w:sz w:val="24"/>
          <w:szCs w:val="24"/>
        </w:rPr>
        <w:t>vital importancia en la vida jurídica profesional.</w:t>
      </w:r>
    </w:p>
    <w:p w:rsidR="00897C26" w:rsidRDefault="00897C26" w:rsidP="000E272E">
      <w:pPr>
        <w:spacing w:line="360" w:lineRule="auto"/>
        <w:jc w:val="both"/>
        <w:rPr>
          <w:rFonts w:ascii="Arial" w:hAnsi="Arial" w:cs="Arial"/>
          <w:sz w:val="24"/>
          <w:szCs w:val="24"/>
        </w:rPr>
      </w:pPr>
      <w:r>
        <w:rPr>
          <w:rFonts w:ascii="Arial" w:hAnsi="Arial" w:cs="Arial"/>
          <w:sz w:val="24"/>
          <w:szCs w:val="24"/>
        </w:rPr>
        <w:t xml:space="preserve">El desistimiento de la pretensión (y por lo tanto la no imposibilidad de volver a plantear el mismo caso ante los tribunales debido al instituto de la cosa juzgada), así como que se tengan por ciertos los hechos afirmados por el actor (lo cual tendrá como corolario </w:t>
      </w:r>
      <w:r>
        <w:rPr>
          <w:rFonts w:ascii="Arial" w:hAnsi="Arial" w:cs="Arial"/>
          <w:sz w:val="24"/>
          <w:szCs w:val="24"/>
        </w:rPr>
        <w:lastRenderedPageBreak/>
        <w:t>casi seguro una sentencia definitiva contraria a los intereses de la parte), son consecuencias demasiado perjudiciales para el representad</w:t>
      </w:r>
      <w:r w:rsidR="004726F6">
        <w:rPr>
          <w:rFonts w:ascii="Arial" w:hAnsi="Arial" w:cs="Arial"/>
          <w:sz w:val="24"/>
          <w:szCs w:val="24"/>
        </w:rPr>
        <w:t>o</w:t>
      </w:r>
      <w:r>
        <w:rPr>
          <w:rFonts w:ascii="Arial" w:hAnsi="Arial" w:cs="Arial"/>
          <w:sz w:val="24"/>
          <w:szCs w:val="24"/>
        </w:rPr>
        <w:t xml:space="preserve"> como para que sucedan por errores o negligencias del profesional. Esto sin mencionar además, la responsabilidad profesional que pueda llegar a existir</w:t>
      </w:r>
    </w:p>
    <w:p w:rsidR="004726F6" w:rsidRDefault="005766E1" w:rsidP="000E272E">
      <w:pPr>
        <w:spacing w:line="360" w:lineRule="auto"/>
        <w:jc w:val="both"/>
        <w:rPr>
          <w:rFonts w:ascii="Arial" w:hAnsi="Arial" w:cs="Arial"/>
          <w:sz w:val="24"/>
          <w:szCs w:val="24"/>
        </w:rPr>
      </w:pPr>
      <w:r>
        <w:rPr>
          <w:rFonts w:ascii="Arial" w:hAnsi="Arial" w:cs="Arial"/>
          <w:sz w:val="24"/>
          <w:szCs w:val="24"/>
        </w:rPr>
        <w:t>Seria</w:t>
      </w:r>
      <w:r w:rsidR="001E3671">
        <w:rPr>
          <w:rFonts w:ascii="Arial" w:hAnsi="Arial" w:cs="Arial"/>
          <w:sz w:val="24"/>
          <w:szCs w:val="24"/>
        </w:rPr>
        <w:t xml:space="preserve"> para nosotros </w:t>
      </w:r>
      <w:r>
        <w:rPr>
          <w:rFonts w:ascii="Arial" w:hAnsi="Arial" w:cs="Arial"/>
          <w:sz w:val="24"/>
          <w:szCs w:val="24"/>
        </w:rPr>
        <w:t>absolutamente</w:t>
      </w:r>
      <w:r w:rsidR="001E3671">
        <w:rPr>
          <w:rFonts w:ascii="Arial" w:hAnsi="Arial" w:cs="Arial"/>
          <w:sz w:val="24"/>
          <w:szCs w:val="24"/>
        </w:rPr>
        <w:t xml:space="preserve"> inacepta</w:t>
      </w:r>
      <w:r>
        <w:rPr>
          <w:rFonts w:ascii="Arial" w:hAnsi="Arial" w:cs="Arial"/>
          <w:sz w:val="24"/>
          <w:szCs w:val="24"/>
        </w:rPr>
        <w:t>ble que no se tenga por justificada la incomparecencia porque por ejemplo, el abogado confundió el plazo que tenía para interponer los recu</w:t>
      </w:r>
      <w:r w:rsidR="004726F6">
        <w:rPr>
          <w:rFonts w:ascii="Arial" w:hAnsi="Arial" w:cs="Arial"/>
          <w:sz w:val="24"/>
          <w:szCs w:val="24"/>
        </w:rPr>
        <w:t>rsos de reposición y apelación a</w:t>
      </w:r>
      <w:r>
        <w:rPr>
          <w:rFonts w:ascii="Arial" w:hAnsi="Arial" w:cs="Arial"/>
          <w:sz w:val="24"/>
          <w:szCs w:val="24"/>
        </w:rPr>
        <w:t xml:space="preserve"> través de los cuales se realiza la </w:t>
      </w:r>
      <w:r w:rsidR="004726F6">
        <w:rPr>
          <w:rFonts w:ascii="Arial" w:hAnsi="Arial" w:cs="Arial"/>
          <w:sz w:val="24"/>
          <w:szCs w:val="24"/>
        </w:rPr>
        <w:t>justificación,</w:t>
      </w:r>
      <w:r w:rsidR="00B36C40">
        <w:rPr>
          <w:rFonts w:ascii="Arial" w:hAnsi="Arial" w:cs="Arial"/>
          <w:sz w:val="24"/>
          <w:szCs w:val="24"/>
        </w:rPr>
        <w:t xml:space="preserve"> precluyendo la oportunidad procesal para hacerlo</w:t>
      </w:r>
      <w:r>
        <w:rPr>
          <w:rFonts w:ascii="Arial" w:hAnsi="Arial" w:cs="Arial"/>
          <w:sz w:val="24"/>
          <w:szCs w:val="24"/>
        </w:rPr>
        <w:t>.</w:t>
      </w:r>
    </w:p>
    <w:p w:rsidR="00B36C40" w:rsidRDefault="004726F6" w:rsidP="00B36C40">
      <w:pPr>
        <w:spacing w:line="360" w:lineRule="auto"/>
        <w:jc w:val="both"/>
        <w:rPr>
          <w:rFonts w:ascii="Arial" w:hAnsi="Arial" w:cs="Arial"/>
          <w:sz w:val="24"/>
          <w:szCs w:val="24"/>
        </w:rPr>
      </w:pPr>
      <w:r>
        <w:rPr>
          <w:rFonts w:ascii="Arial" w:hAnsi="Arial" w:cs="Arial"/>
          <w:sz w:val="24"/>
          <w:szCs w:val="24"/>
        </w:rPr>
        <w:t>A nuestro juicio,</w:t>
      </w:r>
      <w:r>
        <w:rPr>
          <w:rFonts w:ascii="Arial" w:hAnsi="Arial" w:cs="Arial"/>
          <w:sz w:val="24"/>
          <w:szCs w:val="24"/>
        </w:rPr>
        <w:t xml:space="preserve"> las gravísimas sanciones que la ley prevé para las partes que no comparecen, imponen al profesional la necesidad y la obligación de dominar el tema con excelencia, manejándolo de memoria y sin ningún tipo de duda al respecto.</w:t>
      </w:r>
    </w:p>
    <w:p w:rsidR="00B36C40" w:rsidRDefault="00B36C40" w:rsidP="00B36C40">
      <w:pPr>
        <w:spacing w:line="360" w:lineRule="auto"/>
        <w:jc w:val="both"/>
        <w:rPr>
          <w:rFonts w:ascii="Arial" w:hAnsi="Arial" w:cs="Arial"/>
          <w:sz w:val="24"/>
          <w:szCs w:val="24"/>
        </w:rPr>
      </w:pPr>
    </w:p>
    <w:p w:rsidR="00083130" w:rsidRPr="00B36C40" w:rsidRDefault="00083130" w:rsidP="00B36C40">
      <w:pPr>
        <w:spacing w:line="360" w:lineRule="auto"/>
        <w:ind w:firstLine="708"/>
        <w:jc w:val="both"/>
        <w:rPr>
          <w:rFonts w:ascii="Arial" w:hAnsi="Arial" w:cs="Arial"/>
          <w:sz w:val="24"/>
          <w:szCs w:val="24"/>
        </w:rPr>
      </w:pPr>
      <w:r>
        <w:rPr>
          <w:rFonts w:ascii="Arial" w:hAnsi="Arial" w:cs="Arial"/>
          <w:b/>
          <w:sz w:val="28"/>
          <w:szCs w:val="28"/>
          <w:u w:val="single"/>
        </w:rPr>
        <w:t>5. Bibliografía</w:t>
      </w:r>
    </w:p>
    <w:p w:rsidR="00083130" w:rsidRDefault="003030A2" w:rsidP="00083130">
      <w:pPr>
        <w:spacing w:line="360" w:lineRule="auto"/>
        <w:jc w:val="both"/>
        <w:rPr>
          <w:rFonts w:ascii="Arial" w:hAnsi="Arial" w:cs="Arial"/>
          <w:sz w:val="24"/>
          <w:szCs w:val="24"/>
        </w:rPr>
      </w:pPr>
      <w:r>
        <w:rPr>
          <w:rFonts w:ascii="Arial" w:hAnsi="Arial" w:cs="Arial"/>
          <w:sz w:val="24"/>
          <w:szCs w:val="24"/>
        </w:rPr>
        <w:t xml:space="preserve">- </w:t>
      </w:r>
      <w:r w:rsidR="00EE1EBB">
        <w:rPr>
          <w:rFonts w:ascii="Arial" w:hAnsi="Arial" w:cs="Arial"/>
          <w:sz w:val="24"/>
          <w:szCs w:val="24"/>
        </w:rPr>
        <w:t>Valentín, Gabriel, “</w:t>
      </w:r>
      <w:r>
        <w:rPr>
          <w:rFonts w:ascii="Arial" w:hAnsi="Arial" w:cs="Arial"/>
          <w:sz w:val="24"/>
          <w:szCs w:val="24"/>
        </w:rPr>
        <w:t>Análisis</w:t>
      </w:r>
      <w:r w:rsidR="00EE1EBB">
        <w:rPr>
          <w:rFonts w:ascii="Arial" w:hAnsi="Arial" w:cs="Arial"/>
          <w:sz w:val="24"/>
          <w:szCs w:val="24"/>
        </w:rPr>
        <w:t xml:space="preserve"> de temas de Derecho Procesal”</w:t>
      </w:r>
      <w:r>
        <w:rPr>
          <w:rFonts w:ascii="Arial" w:hAnsi="Arial" w:cs="Arial"/>
          <w:sz w:val="24"/>
          <w:szCs w:val="24"/>
        </w:rPr>
        <w:t>, gabrielvalentin-derechoprocesal.blogspot.com/2013/12, año 2013.</w:t>
      </w:r>
    </w:p>
    <w:p w:rsidR="00430DD0" w:rsidRDefault="00430DD0" w:rsidP="00083130">
      <w:pPr>
        <w:spacing w:line="360" w:lineRule="auto"/>
        <w:jc w:val="both"/>
        <w:rPr>
          <w:rFonts w:ascii="Arial" w:hAnsi="Arial" w:cs="Arial"/>
          <w:sz w:val="24"/>
          <w:szCs w:val="24"/>
        </w:rPr>
      </w:pPr>
      <w:r>
        <w:rPr>
          <w:rFonts w:ascii="Arial" w:hAnsi="Arial" w:cs="Arial"/>
          <w:sz w:val="24"/>
          <w:szCs w:val="24"/>
        </w:rPr>
        <w:t>-</w:t>
      </w:r>
      <w:r w:rsidR="003030A2">
        <w:rPr>
          <w:rFonts w:ascii="Arial" w:hAnsi="Arial" w:cs="Arial"/>
          <w:sz w:val="24"/>
          <w:szCs w:val="24"/>
        </w:rPr>
        <w:t xml:space="preserve">  </w:t>
      </w:r>
      <w:proofErr w:type="spellStart"/>
      <w:r w:rsidR="003030A2">
        <w:rPr>
          <w:rFonts w:ascii="Arial" w:hAnsi="Arial" w:cs="Arial"/>
          <w:sz w:val="24"/>
          <w:szCs w:val="24"/>
        </w:rPr>
        <w:t>Abal</w:t>
      </w:r>
      <w:proofErr w:type="spellEnd"/>
      <w:r w:rsidR="003030A2">
        <w:rPr>
          <w:rFonts w:ascii="Arial" w:hAnsi="Arial" w:cs="Arial"/>
          <w:sz w:val="24"/>
          <w:szCs w:val="24"/>
        </w:rPr>
        <w:t xml:space="preserve">, Alejandro, “Audiencia preliminar: presencia del Tribunal y comparecencia de las partes y abogados.”, </w:t>
      </w:r>
      <w:r w:rsidR="00394FD3">
        <w:rPr>
          <w:rFonts w:ascii="Arial" w:hAnsi="Arial" w:cs="Arial"/>
          <w:sz w:val="24"/>
          <w:szCs w:val="24"/>
        </w:rPr>
        <w:t>Judicatura</w:t>
      </w:r>
      <w:r w:rsidR="003030A2">
        <w:rPr>
          <w:rFonts w:ascii="Arial" w:hAnsi="Arial" w:cs="Arial"/>
          <w:sz w:val="24"/>
          <w:szCs w:val="24"/>
        </w:rPr>
        <w:t xml:space="preserve"> </w:t>
      </w:r>
      <w:r w:rsidR="00394FD3">
        <w:rPr>
          <w:rFonts w:ascii="Arial" w:hAnsi="Arial" w:cs="Arial"/>
          <w:sz w:val="24"/>
          <w:szCs w:val="24"/>
        </w:rPr>
        <w:t>No.66 p.11-23, año 2019.</w:t>
      </w:r>
    </w:p>
    <w:p w:rsidR="00430DD0" w:rsidRDefault="00430DD0" w:rsidP="00083130">
      <w:pPr>
        <w:spacing w:line="360" w:lineRule="auto"/>
        <w:jc w:val="both"/>
        <w:rPr>
          <w:rFonts w:ascii="Arial" w:hAnsi="Arial" w:cs="Arial"/>
          <w:sz w:val="24"/>
          <w:szCs w:val="24"/>
        </w:rPr>
      </w:pPr>
      <w:r>
        <w:rPr>
          <w:rFonts w:ascii="Arial" w:hAnsi="Arial" w:cs="Arial"/>
          <w:sz w:val="24"/>
          <w:szCs w:val="24"/>
        </w:rPr>
        <w:t>-</w:t>
      </w:r>
      <w:r w:rsidR="00394FD3">
        <w:rPr>
          <w:rFonts w:ascii="Arial" w:hAnsi="Arial" w:cs="Arial"/>
          <w:sz w:val="24"/>
          <w:szCs w:val="24"/>
        </w:rPr>
        <w:t xml:space="preserve">  Guerra, Walter, “Comparecencia de las partes a la audiencia preliminar de acuerdo al C.G.P. en la redacción dada por la Ley No. 19090 y las consecuencias de su inobservancia”, </w:t>
      </w:r>
      <w:r w:rsidR="006F58BA">
        <w:rPr>
          <w:rFonts w:ascii="Arial" w:hAnsi="Arial" w:cs="Arial"/>
          <w:sz w:val="24"/>
          <w:szCs w:val="24"/>
        </w:rPr>
        <w:t>-lugar y año de publicación desconocido-</w:t>
      </w:r>
      <w:r w:rsidR="00394FD3">
        <w:rPr>
          <w:rFonts w:ascii="Arial" w:hAnsi="Arial" w:cs="Arial"/>
          <w:sz w:val="24"/>
          <w:szCs w:val="24"/>
        </w:rPr>
        <w:t xml:space="preserve"> </w:t>
      </w:r>
      <w:r w:rsidR="006F58BA">
        <w:rPr>
          <w:rFonts w:ascii="Arial" w:hAnsi="Arial" w:cs="Arial"/>
          <w:sz w:val="24"/>
          <w:szCs w:val="24"/>
        </w:rPr>
        <w:t>.</w:t>
      </w:r>
    </w:p>
    <w:p w:rsidR="003A2E10" w:rsidRDefault="003A2E10" w:rsidP="00083130">
      <w:pPr>
        <w:spacing w:line="360" w:lineRule="auto"/>
        <w:jc w:val="both"/>
        <w:rPr>
          <w:rFonts w:ascii="Arial" w:hAnsi="Arial" w:cs="Arial"/>
          <w:sz w:val="24"/>
          <w:szCs w:val="24"/>
        </w:rPr>
      </w:pPr>
      <w:r>
        <w:rPr>
          <w:rFonts w:ascii="Arial" w:hAnsi="Arial" w:cs="Arial"/>
          <w:sz w:val="24"/>
          <w:szCs w:val="24"/>
        </w:rPr>
        <w:t xml:space="preserve">- </w:t>
      </w:r>
      <w:r w:rsidR="006F58BA">
        <w:rPr>
          <w:rFonts w:ascii="Arial" w:hAnsi="Arial" w:cs="Arial"/>
          <w:sz w:val="24"/>
          <w:szCs w:val="24"/>
        </w:rPr>
        <w:t xml:space="preserve"> </w:t>
      </w:r>
      <w:r>
        <w:rPr>
          <w:rFonts w:ascii="Arial" w:hAnsi="Arial" w:cs="Arial"/>
          <w:sz w:val="24"/>
          <w:szCs w:val="24"/>
        </w:rPr>
        <w:t>Base de Jurisprudencia Nacional.</w:t>
      </w:r>
    </w:p>
    <w:p w:rsidR="0022547A" w:rsidRPr="0024151E" w:rsidRDefault="0022547A" w:rsidP="0024151E">
      <w:pPr>
        <w:spacing w:line="360" w:lineRule="auto"/>
        <w:rPr>
          <w:rFonts w:ascii="Arial" w:hAnsi="Arial" w:cs="Arial"/>
          <w:sz w:val="24"/>
          <w:szCs w:val="24"/>
        </w:rPr>
      </w:pPr>
    </w:p>
    <w:sectPr w:rsidR="0022547A" w:rsidRPr="0024151E" w:rsidSect="00364C56">
      <w:headerReference w:type="default" r:id="rId8"/>
      <w:footerReference w:type="default" r:id="rId9"/>
      <w:pgSz w:w="11906" w:h="16838"/>
      <w:pgMar w:top="1418" w:right="1418" w:bottom="1418" w:left="1418"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290" w:rsidRDefault="00123290" w:rsidP="00FE42FD">
      <w:pPr>
        <w:spacing w:after="0" w:line="240" w:lineRule="auto"/>
      </w:pPr>
      <w:r>
        <w:separator/>
      </w:r>
    </w:p>
  </w:endnote>
  <w:endnote w:type="continuationSeparator" w:id="0">
    <w:p w:rsidR="00123290" w:rsidRDefault="00123290" w:rsidP="00FE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007588"/>
      <w:docPartObj>
        <w:docPartGallery w:val="Page Numbers (Bottom of Page)"/>
        <w:docPartUnique/>
      </w:docPartObj>
    </w:sdtPr>
    <w:sdtEndPr/>
    <w:sdtContent>
      <w:p w:rsidR="00364C56" w:rsidRDefault="00364C56">
        <w:pPr>
          <w:pStyle w:val="Piedepgina"/>
          <w:jc w:val="right"/>
        </w:pPr>
        <w:r>
          <w:fldChar w:fldCharType="begin"/>
        </w:r>
        <w:r>
          <w:instrText>PAGE   \* MERGEFORMAT</w:instrText>
        </w:r>
        <w:r>
          <w:fldChar w:fldCharType="separate"/>
        </w:r>
        <w:r w:rsidR="00C207A9" w:rsidRPr="00C207A9">
          <w:rPr>
            <w:noProof/>
            <w:lang w:val="es-ES"/>
          </w:rPr>
          <w:t>2</w:t>
        </w:r>
        <w:r>
          <w:fldChar w:fldCharType="end"/>
        </w:r>
      </w:p>
    </w:sdtContent>
  </w:sdt>
  <w:p w:rsidR="00364C56" w:rsidRDefault="00364C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290" w:rsidRDefault="00123290" w:rsidP="00FE42FD">
      <w:pPr>
        <w:spacing w:after="0" w:line="240" w:lineRule="auto"/>
      </w:pPr>
      <w:r>
        <w:separator/>
      </w:r>
    </w:p>
  </w:footnote>
  <w:footnote w:type="continuationSeparator" w:id="0">
    <w:p w:rsidR="00123290" w:rsidRDefault="00123290" w:rsidP="00FE42FD">
      <w:pPr>
        <w:spacing w:after="0" w:line="240" w:lineRule="auto"/>
      </w:pPr>
      <w:r>
        <w:continuationSeparator/>
      </w:r>
    </w:p>
  </w:footnote>
  <w:footnote w:id="1">
    <w:p w:rsidR="00886B8C" w:rsidRPr="00886B8C" w:rsidRDefault="00886B8C">
      <w:pPr>
        <w:pStyle w:val="Textonotapie"/>
        <w:rPr>
          <w:lang w:val="es-ES"/>
        </w:rPr>
      </w:pPr>
      <w:r>
        <w:rPr>
          <w:rStyle w:val="Refdenotaalpie"/>
        </w:rPr>
        <w:footnoteRef/>
      </w:r>
      <w:r>
        <w:t xml:space="preserve"> </w:t>
      </w:r>
      <w:r w:rsidRPr="00364C56">
        <w:rPr>
          <w:rFonts w:ascii="Arial" w:hAnsi="Arial" w:cs="Arial"/>
          <w:i/>
          <w:sz w:val="22"/>
          <w:szCs w:val="22"/>
        </w:rPr>
        <w:t>Valentín, Gabriel, “Análisis de temas de Derecho Procesal”, gabrielvalentin-derechoprocesal.blogspot.com/2013/12, año 2013.</w:t>
      </w:r>
    </w:p>
  </w:footnote>
  <w:footnote w:id="2">
    <w:p w:rsidR="00886B8C" w:rsidRDefault="00886B8C">
      <w:pPr>
        <w:pStyle w:val="Textonotapie"/>
      </w:pPr>
    </w:p>
    <w:p w:rsidR="00886B8C" w:rsidRPr="00886B8C" w:rsidRDefault="00886B8C">
      <w:pPr>
        <w:pStyle w:val="Textonotapie"/>
      </w:pPr>
      <w:r>
        <w:rPr>
          <w:rStyle w:val="Refdenotaalpie"/>
        </w:rPr>
        <w:footnoteRef/>
      </w:r>
      <w:r>
        <w:t xml:space="preserve"> </w:t>
      </w:r>
      <w:r w:rsidRPr="00364C56">
        <w:rPr>
          <w:rFonts w:ascii="Arial" w:hAnsi="Arial" w:cs="Arial"/>
          <w:i/>
          <w:sz w:val="22"/>
          <w:szCs w:val="22"/>
        </w:rPr>
        <w:t>Valentín, Gabriel, “Análisis de temas de Derecho Procesal”, gabrielvalentin-derechoprocesal.blogspot.com/2013/12, año 2013.</w:t>
      </w:r>
    </w:p>
  </w:footnote>
  <w:footnote w:id="3">
    <w:p w:rsidR="00886B8C" w:rsidRPr="00886B8C" w:rsidRDefault="00886B8C">
      <w:pPr>
        <w:pStyle w:val="Textonotapie"/>
        <w:rPr>
          <w:lang w:val="es-ES"/>
        </w:rPr>
      </w:pPr>
      <w:r>
        <w:rPr>
          <w:rStyle w:val="Refdenotaalpie"/>
        </w:rPr>
        <w:footnoteRef/>
      </w:r>
      <w:r>
        <w:t xml:space="preserve"> </w:t>
      </w:r>
      <w:r w:rsidRPr="00364C56">
        <w:rPr>
          <w:rFonts w:ascii="Arial" w:hAnsi="Arial" w:cs="Arial"/>
          <w:i/>
          <w:sz w:val="22"/>
          <w:szCs w:val="22"/>
        </w:rPr>
        <w:t>Valentín, Gabriel, “Análisis de temas de Derecho Procesal”, gabrielvalentin-derechoprocesal.blogspot.com/2013/12, año 2013.</w:t>
      </w:r>
    </w:p>
  </w:footnote>
  <w:footnote w:id="4">
    <w:p w:rsidR="00886B8C" w:rsidRPr="00886B8C" w:rsidRDefault="00886B8C">
      <w:pPr>
        <w:pStyle w:val="Textonotapie"/>
        <w:rPr>
          <w:lang w:val="es-ES"/>
        </w:rPr>
      </w:pPr>
      <w:r>
        <w:rPr>
          <w:rStyle w:val="Refdenotaalpie"/>
        </w:rPr>
        <w:footnoteRef/>
      </w:r>
      <w:r>
        <w:t xml:space="preserve"> </w:t>
      </w:r>
      <w:r w:rsidRPr="00364C56">
        <w:rPr>
          <w:rFonts w:ascii="Arial" w:hAnsi="Arial" w:cs="Arial"/>
          <w:i/>
          <w:sz w:val="22"/>
          <w:szCs w:val="22"/>
        </w:rPr>
        <w:t>Valentín, Gabriel, “Análisis de temas de Derecho Procesal”, gabrielvalentin-derechoprocesal.blogspot.com/2013/12, año 2013.</w:t>
      </w:r>
    </w:p>
  </w:footnote>
  <w:footnote w:id="5">
    <w:p w:rsidR="008E5C19" w:rsidRPr="008E5C19" w:rsidRDefault="008E5C19">
      <w:pPr>
        <w:pStyle w:val="Textonotapie"/>
        <w:rPr>
          <w:lang w:val="es-ES"/>
        </w:rPr>
      </w:pPr>
      <w:r>
        <w:rPr>
          <w:rStyle w:val="Refdenotaalpie"/>
        </w:rPr>
        <w:footnoteRef/>
      </w:r>
      <w:r>
        <w:t xml:space="preserve"> </w:t>
      </w:r>
      <w:r w:rsidRPr="00364C56">
        <w:rPr>
          <w:rFonts w:ascii="Arial" w:hAnsi="Arial" w:cs="Arial"/>
          <w:i/>
          <w:sz w:val="22"/>
          <w:szCs w:val="22"/>
        </w:rPr>
        <w:t>Valentín, Gabriel, “Análisis de temas de Derecho Procesal”, gabrielvalentin-derechoprocesal.blogspot.com/2013/12, año 2013.</w:t>
      </w:r>
    </w:p>
  </w:footnote>
  <w:footnote w:id="6">
    <w:p w:rsidR="008E5C19" w:rsidRPr="008E5C19" w:rsidRDefault="008E5C19">
      <w:pPr>
        <w:pStyle w:val="Textonotapie"/>
        <w:rPr>
          <w:lang w:val="es-ES"/>
        </w:rPr>
      </w:pPr>
      <w:r>
        <w:rPr>
          <w:rStyle w:val="Refdenotaalpie"/>
        </w:rPr>
        <w:footnoteRef/>
      </w:r>
      <w:r>
        <w:t xml:space="preserve"> </w:t>
      </w:r>
      <w:r w:rsidRPr="008E5C19">
        <w:rPr>
          <w:rFonts w:ascii="Arial" w:hAnsi="Arial" w:cs="Arial"/>
          <w:i/>
          <w:sz w:val="22"/>
          <w:szCs w:val="22"/>
        </w:rPr>
        <w:t>Guerra, Walter, “Comparecencia de las partes a la audiencia preliminar de acuerdo al C.G.P. en la redacción dada por la Ley No. 19090 y las consecuencias de su inobservancia”, -lugar y año de publicación desconocido-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FD" w:rsidRDefault="00FE42FD">
    <w:pPr>
      <w:pStyle w:val="Encabezado"/>
    </w:pPr>
  </w:p>
  <w:p w:rsidR="00FE42FD" w:rsidRDefault="00FE42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74277"/>
    <w:multiLevelType w:val="hybridMultilevel"/>
    <w:tmpl w:val="B23EAAE8"/>
    <w:lvl w:ilvl="0" w:tplc="5C48BA2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6DBA3F83"/>
    <w:multiLevelType w:val="hybridMultilevel"/>
    <w:tmpl w:val="9ECA2734"/>
    <w:lvl w:ilvl="0" w:tplc="9B44EE1E">
      <w:numFmt w:val="bullet"/>
      <w:lvlText w:val="-"/>
      <w:lvlJc w:val="left"/>
      <w:pPr>
        <w:ind w:left="720" w:hanging="360"/>
      </w:pPr>
      <w:rPr>
        <w:rFonts w:ascii="Calibri" w:eastAsiaTheme="minorHAnsi" w:hAnsi="Calibri" w:cs="Calibri" w:hint="default"/>
        <w:color w:val="2E74B5" w:themeColor="accent1"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9"/>
    <w:rsid w:val="00002A11"/>
    <w:rsid w:val="00013C64"/>
    <w:rsid w:val="000218AF"/>
    <w:rsid w:val="00024F2A"/>
    <w:rsid w:val="00047FC7"/>
    <w:rsid w:val="00070C81"/>
    <w:rsid w:val="00075F68"/>
    <w:rsid w:val="00083130"/>
    <w:rsid w:val="00092425"/>
    <w:rsid w:val="000A212B"/>
    <w:rsid w:val="000C034D"/>
    <w:rsid w:val="000D6D15"/>
    <w:rsid w:val="000E272E"/>
    <w:rsid w:val="000E3BC0"/>
    <w:rsid w:val="000F7B79"/>
    <w:rsid w:val="00123290"/>
    <w:rsid w:val="00135779"/>
    <w:rsid w:val="0013717F"/>
    <w:rsid w:val="001434CE"/>
    <w:rsid w:val="001452E5"/>
    <w:rsid w:val="001541F4"/>
    <w:rsid w:val="00163EE7"/>
    <w:rsid w:val="001754A1"/>
    <w:rsid w:val="0018765C"/>
    <w:rsid w:val="001A7C4F"/>
    <w:rsid w:val="001E2882"/>
    <w:rsid w:val="001E3671"/>
    <w:rsid w:val="001E44F4"/>
    <w:rsid w:val="00207C12"/>
    <w:rsid w:val="002156C4"/>
    <w:rsid w:val="002209D3"/>
    <w:rsid w:val="0022547A"/>
    <w:rsid w:val="002344D0"/>
    <w:rsid w:val="002371BE"/>
    <w:rsid w:val="0024151E"/>
    <w:rsid w:val="00250FE7"/>
    <w:rsid w:val="00284626"/>
    <w:rsid w:val="0029348B"/>
    <w:rsid w:val="002B0BFC"/>
    <w:rsid w:val="002D7A04"/>
    <w:rsid w:val="002E5133"/>
    <w:rsid w:val="002F000C"/>
    <w:rsid w:val="003030A2"/>
    <w:rsid w:val="0031107D"/>
    <w:rsid w:val="00334785"/>
    <w:rsid w:val="00335C7B"/>
    <w:rsid w:val="0033732E"/>
    <w:rsid w:val="00354066"/>
    <w:rsid w:val="00364C56"/>
    <w:rsid w:val="003772A8"/>
    <w:rsid w:val="00394FD3"/>
    <w:rsid w:val="003A2E10"/>
    <w:rsid w:val="003B415A"/>
    <w:rsid w:val="003C5D07"/>
    <w:rsid w:val="003E1D53"/>
    <w:rsid w:val="00430DD0"/>
    <w:rsid w:val="00441603"/>
    <w:rsid w:val="00460C6C"/>
    <w:rsid w:val="004708EC"/>
    <w:rsid w:val="004726F6"/>
    <w:rsid w:val="00496A08"/>
    <w:rsid w:val="004B549B"/>
    <w:rsid w:val="004B609E"/>
    <w:rsid w:val="004C23DE"/>
    <w:rsid w:val="0051106C"/>
    <w:rsid w:val="00544FFA"/>
    <w:rsid w:val="00560656"/>
    <w:rsid w:val="00571099"/>
    <w:rsid w:val="005766E1"/>
    <w:rsid w:val="005B0FDF"/>
    <w:rsid w:val="005C6AC4"/>
    <w:rsid w:val="005E6C9D"/>
    <w:rsid w:val="006075A1"/>
    <w:rsid w:val="0061539A"/>
    <w:rsid w:val="00624F93"/>
    <w:rsid w:val="00632F38"/>
    <w:rsid w:val="00636A44"/>
    <w:rsid w:val="00664426"/>
    <w:rsid w:val="006678F5"/>
    <w:rsid w:val="00684CEC"/>
    <w:rsid w:val="00690B9D"/>
    <w:rsid w:val="00695BF7"/>
    <w:rsid w:val="006A1A68"/>
    <w:rsid w:val="006A793C"/>
    <w:rsid w:val="006C0817"/>
    <w:rsid w:val="006C5428"/>
    <w:rsid w:val="006F58BA"/>
    <w:rsid w:val="0070198A"/>
    <w:rsid w:val="00740CAD"/>
    <w:rsid w:val="0075183B"/>
    <w:rsid w:val="00752AB8"/>
    <w:rsid w:val="00757886"/>
    <w:rsid w:val="0079187E"/>
    <w:rsid w:val="007B77CE"/>
    <w:rsid w:val="007C2E34"/>
    <w:rsid w:val="007D1C99"/>
    <w:rsid w:val="007D7295"/>
    <w:rsid w:val="007E5273"/>
    <w:rsid w:val="007F4000"/>
    <w:rsid w:val="0080344D"/>
    <w:rsid w:val="00810C12"/>
    <w:rsid w:val="00814137"/>
    <w:rsid w:val="00835B43"/>
    <w:rsid w:val="00841995"/>
    <w:rsid w:val="008464A6"/>
    <w:rsid w:val="0087796A"/>
    <w:rsid w:val="00886B8C"/>
    <w:rsid w:val="00897C26"/>
    <w:rsid w:val="008D285E"/>
    <w:rsid w:val="008E5C19"/>
    <w:rsid w:val="008F5128"/>
    <w:rsid w:val="00903488"/>
    <w:rsid w:val="00906C77"/>
    <w:rsid w:val="00912338"/>
    <w:rsid w:val="0091412D"/>
    <w:rsid w:val="009273BD"/>
    <w:rsid w:val="00935E3D"/>
    <w:rsid w:val="00943381"/>
    <w:rsid w:val="009435FD"/>
    <w:rsid w:val="009652B6"/>
    <w:rsid w:val="00A002E7"/>
    <w:rsid w:val="00A27A0D"/>
    <w:rsid w:val="00A427E3"/>
    <w:rsid w:val="00A447FC"/>
    <w:rsid w:val="00A81743"/>
    <w:rsid w:val="00A878E0"/>
    <w:rsid w:val="00A929A9"/>
    <w:rsid w:val="00AB7237"/>
    <w:rsid w:val="00AB7855"/>
    <w:rsid w:val="00AE7260"/>
    <w:rsid w:val="00AF0298"/>
    <w:rsid w:val="00AF2AD8"/>
    <w:rsid w:val="00B36C40"/>
    <w:rsid w:val="00B52B49"/>
    <w:rsid w:val="00B719C1"/>
    <w:rsid w:val="00B858DA"/>
    <w:rsid w:val="00B94EA5"/>
    <w:rsid w:val="00BB0834"/>
    <w:rsid w:val="00BC17F0"/>
    <w:rsid w:val="00BE27B6"/>
    <w:rsid w:val="00BE4F6F"/>
    <w:rsid w:val="00BF1163"/>
    <w:rsid w:val="00BF2377"/>
    <w:rsid w:val="00BF3242"/>
    <w:rsid w:val="00C207A9"/>
    <w:rsid w:val="00C96D19"/>
    <w:rsid w:val="00CC2E38"/>
    <w:rsid w:val="00CE7AED"/>
    <w:rsid w:val="00CF53B2"/>
    <w:rsid w:val="00CF54F2"/>
    <w:rsid w:val="00D12906"/>
    <w:rsid w:val="00D1693C"/>
    <w:rsid w:val="00D313AF"/>
    <w:rsid w:val="00D32B85"/>
    <w:rsid w:val="00D45EF7"/>
    <w:rsid w:val="00D55FCC"/>
    <w:rsid w:val="00D624D3"/>
    <w:rsid w:val="00D748C7"/>
    <w:rsid w:val="00D818BA"/>
    <w:rsid w:val="00DE48AC"/>
    <w:rsid w:val="00DE63B2"/>
    <w:rsid w:val="00DF15E5"/>
    <w:rsid w:val="00E04AC2"/>
    <w:rsid w:val="00E20B9F"/>
    <w:rsid w:val="00E40CE1"/>
    <w:rsid w:val="00E503B7"/>
    <w:rsid w:val="00E62CE5"/>
    <w:rsid w:val="00E72E18"/>
    <w:rsid w:val="00E91DDA"/>
    <w:rsid w:val="00EC599E"/>
    <w:rsid w:val="00ED6A5E"/>
    <w:rsid w:val="00EE1EBB"/>
    <w:rsid w:val="00F0339A"/>
    <w:rsid w:val="00F043E5"/>
    <w:rsid w:val="00F06D4C"/>
    <w:rsid w:val="00F06F66"/>
    <w:rsid w:val="00F45FB3"/>
    <w:rsid w:val="00F560E9"/>
    <w:rsid w:val="00F62FA5"/>
    <w:rsid w:val="00F671E2"/>
    <w:rsid w:val="00FA5CD0"/>
    <w:rsid w:val="00FB74BF"/>
    <w:rsid w:val="00FD0EF3"/>
    <w:rsid w:val="00FD2A05"/>
    <w:rsid w:val="00FD661F"/>
    <w:rsid w:val="00FE42FD"/>
    <w:rsid w:val="00FF02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FF7AF-96F5-41A4-A5DB-D11E6147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2377"/>
    <w:pPr>
      <w:ind w:left="720"/>
      <w:contextualSpacing/>
    </w:pPr>
  </w:style>
  <w:style w:type="paragraph" w:styleId="Encabezado">
    <w:name w:val="header"/>
    <w:basedOn w:val="Normal"/>
    <w:link w:val="EncabezadoCar"/>
    <w:uiPriority w:val="99"/>
    <w:unhideWhenUsed/>
    <w:rsid w:val="00FE42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42FD"/>
  </w:style>
  <w:style w:type="paragraph" w:styleId="Piedepgina">
    <w:name w:val="footer"/>
    <w:basedOn w:val="Normal"/>
    <w:link w:val="PiedepginaCar"/>
    <w:uiPriority w:val="99"/>
    <w:unhideWhenUsed/>
    <w:rsid w:val="00FE42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42FD"/>
  </w:style>
  <w:style w:type="paragraph" w:styleId="Textonotaalfinal">
    <w:name w:val="endnote text"/>
    <w:basedOn w:val="Normal"/>
    <w:link w:val="TextonotaalfinalCar"/>
    <w:uiPriority w:val="99"/>
    <w:semiHidden/>
    <w:unhideWhenUsed/>
    <w:rsid w:val="00364C5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64C56"/>
    <w:rPr>
      <w:sz w:val="20"/>
      <w:szCs w:val="20"/>
    </w:rPr>
  </w:style>
  <w:style w:type="character" w:styleId="Refdenotaalfinal">
    <w:name w:val="endnote reference"/>
    <w:basedOn w:val="Fuentedeprrafopredeter"/>
    <w:uiPriority w:val="99"/>
    <w:semiHidden/>
    <w:unhideWhenUsed/>
    <w:rsid w:val="00364C56"/>
    <w:rPr>
      <w:vertAlign w:val="superscript"/>
    </w:rPr>
  </w:style>
  <w:style w:type="paragraph" w:styleId="Textonotapie">
    <w:name w:val="footnote text"/>
    <w:basedOn w:val="Normal"/>
    <w:link w:val="TextonotapieCar"/>
    <w:uiPriority w:val="99"/>
    <w:semiHidden/>
    <w:unhideWhenUsed/>
    <w:rsid w:val="00364C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4C56"/>
    <w:rPr>
      <w:sz w:val="20"/>
      <w:szCs w:val="20"/>
    </w:rPr>
  </w:style>
  <w:style w:type="character" w:styleId="Refdenotaalpie">
    <w:name w:val="footnote reference"/>
    <w:basedOn w:val="Fuentedeprrafopredeter"/>
    <w:uiPriority w:val="99"/>
    <w:semiHidden/>
    <w:unhideWhenUsed/>
    <w:rsid w:val="00364C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4EA9F-0AEC-4C4B-A5DA-78BE5517D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3131</Words>
  <Characters>17224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Pipa</dc:creator>
  <cp:keywords/>
  <dc:description/>
  <cp:lastModifiedBy>Pipa</cp:lastModifiedBy>
  <cp:revision>4</cp:revision>
  <dcterms:created xsi:type="dcterms:W3CDTF">2020-05-08T15:56:00Z</dcterms:created>
  <dcterms:modified xsi:type="dcterms:W3CDTF">2020-05-08T16:28:00Z</dcterms:modified>
</cp:coreProperties>
</file>