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5631A" w14:textId="77777777" w:rsidR="009A5668" w:rsidRPr="002862D9" w:rsidRDefault="00F8525B" w:rsidP="009A5668">
      <w:pPr>
        <w:pStyle w:val="ListParagraph"/>
        <w:numPr>
          <w:ilvl w:val="0"/>
          <w:numId w:val="1"/>
        </w:numPr>
        <w:spacing w:after="0" w:line="360" w:lineRule="auto"/>
        <w:jc w:val="right"/>
        <w:rPr>
          <w:rFonts w:ascii="Arial" w:hAnsi="Arial" w:cs="Arial"/>
          <w:sz w:val="24"/>
          <w:szCs w:val="24"/>
        </w:rPr>
      </w:pPr>
      <w:r>
        <w:rPr>
          <w:rFonts w:ascii="Arial" w:hAnsi="Arial" w:cs="Arial"/>
          <w:b/>
          <w:sz w:val="24"/>
          <w:szCs w:val="24"/>
        </w:rPr>
        <w:t>REGULACIÓN DE HONORARIOS</w:t>
      </w:r>
      <w:r w:rsidR="009A5668">
        <w:rPr>
          <w:rFonts w:ascii="Arial" w:hAnsi="Arial" w:cs="Arial"/>
          <w:sz w:val="24"/>
          <w:szCs w:val="24"/>
        </w:rPr>
        <w:t>-</w:t>
      </w:r>
    </w:p>
    <w:p w14:paraId="32C7A726" w14:textId="77777777" w:rsidR="009A5668" w:rsidRDefault="009A5668" w:rsidP="009A5668">
      <w:pPr>
        <w:spacing w:line="360" w:lineRule="auto"/>
        <w:jc w:val="both"/>
        <w:rPr>
          <w:rFonts w:ascii="Arial" w:hAnsi="Arial" w:cs="Arial"/>
          <w:b/>
          <w:sz w:val="24"/>
          <w:szCs w:val="24"/>
        </w:rPr>
      </w:pPr>
      <w:r>
        <w:rPr>
          <w:rFonts w:ascii="Arial" w:hAnsi="Arial" w:cs="Arial"/>
          <w:b/>
          <w:sz w:val="24"/>
          <w:szCs w:val="24"/>
        </w:rPr>
        <w:t xml:space="preserve">Sr. JUEZ LETRADO DE PRIMERA INSTANCIA </w:t>
      </w:r>
      <w:r w:rsidR="00F8525B">
        <w:rPr>
          <w:rFonts w:ascii="Arial" w:hAnsi="Arial" w:cs="Arial"/>
          <w:b/>
          <w:sz w:val="24"/>
          <w:szCs w:val="24"/>
        </w:rPr>
        <w:t xml:space="preserve">EN LO CIVIL DE </w:t>
      </w:r>
      <w:r>
        <w:rPr>
          <w:rFonts w:ascii="Arial" w:hAnsi="Arial" w:cs="Arial"/>
          <w:b/>
          <w:sz w:val="24"/>
          <w:szCs w:val="24"/>
        </w:rPr>
        <w:t xml:space="preserve"> TURNO:</w:t>
      </w:r>
    </w:p>
    <w:p w14:paraId="30643A51" w14:textId="77777777" w:rsidR="009A5668" w:rsidRDefault="009A5668" w:rsidP="009A5668">
      <w:pPr>
        <w:spacing w:line="360" w:lineRule="auto"/>
        <w:jc w:val="both"/>
        <w:rPr>
          <w:rFonts w:ascii="Arial" w:hAnsi="Arial" w:cs="Arial"/>
          <w:sz w:val="24"/>
          <w:szCs w:val="24"/>
        </w:rPr>
      </w:pPr>
      <w:r>
        <w:rPr>
          <w:rFonts w:ascii="Arial" w:hAnsi="Arial" w:cs="Arial"/>
          <w:b/>
          <w:sz w:val="24"/>
          <w:szCs w:val="24"/>
        </w:rPr>
        <w:tab/>
      </w:r>
      <w:r w:rsidRPr="00235DDB">
        <w:rPr>
          <w:rFonts w:ascii="Arial" w:hAnsi="Arial" w:cs="Arial"/>
          <w:b/>
          <w:sz w:val="24"/>
          <w:szCs w:val="24"/>
          <w:u w:val="single"/>
        </w:rPr>
        <w:t>Dr</w:t>
      </w:r>
      <w:r w:rsidR="00F8525B">
        <w:rPr>
          <w:rFonts w:ascii="Arial" w:hAnsi="Arial" w:cs="Arial"/>
          <w:b/>
          <w:sz w:val="24"/>
          <w:szCs w:val="24"/>
          <w:u w:val="single"/>
        </w:rPr>
        <w:t>a</w:t>
      </w:r>
      <w:r w:rsidRPr="00235DDB">
        <w:rPr>
          <w:rFonts w:ascii="Arial" w:hAnsi="Arial" w:cs="Arial"/>
          <w:b/>
          <w:sz w:val="24"/>
          <w:szCs w:val="24"/>
          <w:u w:val="single"/>
        </w:rPr>
        <w:t>.</w:t>
      </w:r>
      <w:r w:rsidR="00F8525B">
        <w:rPr>
          <w:rFonts w:ascii="Arial" w:hAnsi="Arial" w:cs="Arial"/>
          <w:b/>
          <w:sz w:val="24"/>
          <w:szCs w:val="24"/>
          <w:u w:val="single"/>
        </w:rPr>
        <w:t xml:space="preserve"> Ana ANTUNEZ </w:t>
      </w:r>
      <w:r>
        <w:rPr>
          <w:rFonts w:ascii="Arial" w:hAnsi="Arial" w:cs="Arial"/>
          <w:b/>
          <w:sz w:val="24"/>
          <w:szCs w:val="24"/>
          <w:u w:val="single"/>
        </w:rPr>
        <w:t>,</w:t>
      </w:r>
      <w:r w:rsidR="00F8525B">
        <w:rPr>
          <w:rFonts w:ascii="Arial" w:hAnsi="Arial" w:cs="Arial"/>
          <w:sz w:val="24"/>
          <w:szCs w:val="24"/>
        </w:rPr>
        <w:t xml:space="preserve"> titular de la cédula de identidad N° 1.234.567-8, denunciando domicilio real en la calle Millán 1234, constituyendo domicilio procesal en Tristán Narvaja 1212 y electrónico en </w:t>
      </w:r>
      <w:hyperlink r:id="rId5" w:history="1">
        <w:r w:rsidR="00F8525B" w:rsidRPr="00B36117">
          <w:rPr>
            <w:rStyle w:val="Hyperlink"/>
            <w:rFonts w:ascii="Arial" w:hAnsi="Arial" w:cs="Arial"/>
            <w:sz w:val="24"/>
            <w:szCs w:val="24"/>
          </w:rPr>
          <w:t>1234567@notificaciones.poderjudicial.gub</w:t>
        </w:r>
      </w:hyperlink>
      <w:r w:rsidR="00F8525B">
        <w:rPr>
          <w:rFonts w:ascii="Arial" w:hAnsi="Arial" w:cs="Arial"/>
          <w:sz w:val="24"/>
          <w:szCs w:val="24"/>
        </w:rPr>
        <w:t xml:space="preserve">, </w:t>
      </w:r>
      <w:r>
        <w:rPr>
          <w:rFonts w:ascii="Arial" w:hAnsi="Arial" w:cs="Arial"/>
          <w:sz w:val="24"/>
          <w:szCs w:val="24"/>
        </w:rPr>
        <w:t>compareciendo en autos caratulados</w:t>
      </w:r>
      <w:r>
        <w:rPr>
          <w:rFonts w:ascii="Arial" w:hAnsi="Arial" w:cs="Arial"/>
          <w:b/>
          <w:sz w:val="24"/>
          <w:szCs w:val="24"/>
        </w:rPr>
        <w:t>“</w:t>
      </w:r>
      <w:r w:rsidR="00F8525B">
        <w:rPr>
          <w:rFonts w:ascii="Arial" w:hAnsi="Arial" w:cs="Arial"/>
          <w:b/>
          <w:sz w:val="24"/>
          <w:szCs w:val="24"/>
        </w:rPr>
        <w:t xml:space="preserve"> INTENDEN</w:t>
      </w:r>
      <w:r w:rsidR="00AF13BE">
        <w:rPr>
          <w:rFonts w:ascii="Arial" w:hAnsi="Arial" w:cs="Arial"/>
          <w:b/>
          <w:sz w:val="24"/>
          <w:szCs w:val="24"/>
        </w:rPr>
        <w:t xml:space="preserve">CIA </w:t>
      </w:r>
      <w:r w:rsidR="00F8525B">
        <w:rPr>
          <w:rFonts w:ascii="Arial" w:hAnsi="Arial" w:cs="Arial"/>
          <w:b/>
          <w:sz w:val="24"/>
          <w:szCs w:val="24"/>
        </w:rPr>
        <w:t>DE MONTEVIDEO, c/ MOLINOS S.A</w:t>
      </w:r>
      <w:r>
        <w:rPr>
          <w:rFonts w:ascii="Arial" w:hAnsi="Arial" w:cs="Arial"/>
          <w:b/>
          <w:sz w:val="24"/>
          <w:szCs w:val="24"/>
        </w:rPr>
        <w:t xml:space="preserve"> – </w:t>
      </w:r>
      <w:r w:rsidR="00F8525B">
        <w:rPr>
          <w:rFonts w:ascii="Arial" w:hAnsi="Arial" w:cs="Arial"/>
          <w:b/>
          <w:sz w:val="24"/>
          <w:szCs w:val="24"/>
        </w:rPr>
        <w:t>JUICIO EJECUTIVO “, IUE: 2-59562/2013</w:t>
      </w:r>
      <w:r>
        <w:rPr>
          <w:rFonts w:ascii="Arial" w:hAnsi="Arial" w:cs="Arial"/>
          <w:b/>
          <w:sz w:val="24"/>
          <w:szCs w:val="24"/>
        </w:rPr>
        <w:t xml:space="preserve">, </w:t>
      </w:r>
      <w:r>
        <w:rPr>
          <w:rFonts w:ascii="Arial" w:hAnsi="Arial" w:cs="Arial"/>
          <w:sz w:val="24"/>
          <w:szCs w:val="24"/>
        </w:rPr>
        <w:t xml:space="preserve">al Sr. Juez </w:t>
      </w:r>
      <w:r w:rsidR="00F8525B">
        <w:rPr>
          <w:rFonts w:ascii="Arial" w:hAnsi="Arial" w:cs="Arial"/>
          <w:sz w:val="24"/>
          <w:szCs w:val="24"/>
        </w:rPr>
        <w:t>me presento</w:t>
      </w:r>
      <w:r w:rsidRPr="00235DDB">
        <w:rPr>
          <w:rFonts w:ascii="Arial" w:hAnsi="Arial" w:cs="Arial"/>
          <w:sz w:val="24"/>
          <w:szCs w:val="24"/>
        </w:rPr>
        <w:t xml:space="preserve"> y</w:t>
      </w:r>
      <w:r w:rsidR="00F8525B">
        <w:rPr>
          <w:rFonts w:ascii="Arial" w:hAnsi="Arial" w:cs="Arial"/>
          <w:sz w:val="24"/>
          <w:szCs w:val="24"/>
        </w:rPr>
        <w:t xml:space="preserve"> </w:t>
      </w:r>
      <w:r w:rsidR="00F8525B">
        <w:rPr>
          <w:rFonts w:ascii="Arial" w:hAnsi="Arial" w:cs="Arial"/>
          <w:b/>
          <w:sz w:val="24"/>
          <w:szCs w:val="24"/>
          <w:u w:val="single"/>
        </w:rPr>
        <w:t>DIGO:</w:t>
      </w:r>
    </w:p>
    <w:p w14:paraId="101E0348" w14:textId="77777777" w:rsidR="00F8525B" w:rsidRDefault="009A5668" w:rsidP="009A5668">
      <w:pPr>
        <w:spacing w:line="360" w:lineRule="auto"/>
        <w:ind w:firstLine="708"/>
        <w:jc w:val="both"/>
        <w:rPr>
          <w:rFonts w:ascii="Arial" w:hAnsi="Arial" w:cs="Arial"/>
          <w:sz w:val="24"/>
          <w:szCs w:val="24"/>
        </w:rPr>
      </w:pPr>
      <w:r>
        <w:rPr>
          <w:rFonts w:ascii="Arial" w:hAnsi="Arial" w:cs="Arial"/>
          <w:sz w:val="24"/>
          <w:szCs w:val="24"/>
        </w:rPr>
        <w:t>Que v</w:t>
      </w:r>
      <w:r w:rsidR="00F8525B">
        <w:rPr>
          <w:rFonts w:ascii="Arial" w:hAnsi="Arial" w:cs="Arial"/>
          <w:sz w:val="24"/>
          <w:szCs w:val="24"/>
        </w:rPr>
        <w:t xml:space="preserve">engo </w:t>
      </w:r>
      <w:r>
        <w:rPr>
          <w:rFonts w:ascii="Arial" w:hAnsi="Arial" w:cs="Arial"/>
          <w:sz w:val="24"/>
          <w:szCs w:val="24"/>
        </w:rPr>
        <w:t xml:space="preserve">a </w:t>
      </w:r>
      <w:r w:rsidR="00F8525B">
        <w:rPr>
          <w:rFonts w:ascii="Arial" w:hAnsi="Arial" w:cs="Arial"/>
          <w:sz w:val="24"/>
          <w:szCs w:val="24"/>
        </w:rPr>
        <w:t xml:space="preserve">iniciar </w:t>
      </w:r>
      <w:r w:rsidR="00F8525B" w:rsidRPr="00F8525B">
        <w:rPr>
          <w:rFonts w:ascii="Arial" w:hAnsi="Arial" w:cs="Arial"/>
          <w:b/>
          <w:i/>
          <w:sz w:val="24"/>
          <w:szCs w:val="24"/>
        </w:rPr>
        <w:t>proceso de regulación de honorarios</w:t>
      </w:r>
      <w:r w:rsidR="00F8525B">
        <w:rPr>
          <w:rFonts w:ascii="Arial" w:hAnsi="Arial" w:cs="Arial"/>
          <w:sz w:val="24"/>
          <w:szCs w:val="24"/>
        </w:rPr>
        <w:t xml:space="preserve"> </w:t>
      </w:r>
      <w:r w:rsidR="00AF13BE">
        <w:rPr>
          <w:rFonts w:ascii="Arial" w:hAnsi="Arial" w:cs="Arial"/>
          <w:sz w:val="24"/>
          <w:szCs w:val="24"/>
        </w:rPr>
        <w:t xml:space="preserve">contra la Intendencia </w:t>
      </w:r>
      <w:r w:rsidR="00F8525B">
        <w:rPr>
          <w:rFonts w:ascii="Arial" w:hAnsi="Arial" w:cs="Arial"/>
          <w:sz w:val="24"/>
          <w:szCs w:val="24"/>
        </w:rPr>
        <w:t>de Montevideo, en virtud de las circunstancias de hecho y fundamentos de derecho que paso a exponer:</w:t>
      </w:r>
    </w:p>
    <w:p w14:paraId="6A708A11" w14:textId="77777777" w:rsidR="00F8525B" w:rsidRDefault="00F8525B" w:rsidP="00F8525B">
      <w:pPr>
        <w:pStyle w:val="ListParagraph"/>
        <w:numPr>
          <w:ilvl w:val="0"/>
          <w:numId w:val="2"/>
        </w:numPr>
        <w:spacing w:line="360" w:lineRule="auto"/>
        <w:jc w:val="center"/>
        <w:rPr>
          <w:rFonts w:ascii="Arial" w:hAnsi="Arial" w:cs="Arial"/>
          <w:b/>
          <w:i/>
          <w:sz w:val="24"/>
          <w:szCs w:val="24"/>
          <w:u w:val="single"/>
        </w:rPr>
      </w:pPr>
      <w:r w:rsidRPr="00F8525B">
        <w:rPr>
          <w:rFonts w:ascii="Arial" w:hAnsi="Arial" w:cs="Arial"/>
          <w:b/>
          <w:sz w:val="24"/>
          <w:szCs w:val="24"/>
          <w:u w:val="single"/>
        </w:rPr>
        <w:t>HECHOS</w:t>
      </w:r>
      <w:r>
        <w:rPr>
          <w:rFonts w:ascii="Arial" w:hAnsi="Arial" w:cs="Arial"/>
          <w:b/>
          <w:i/>
          <w:sz w:val="24"/>
          <w:szCs w:val="24"/>
          <w:u w:val="single"/>
        </w:rPr>
        <w:t>:</w:t>
      </w:r>
    </w:p>
    <w:p w14:paraId="7A6D8EC1" w14:textId="77777777" w:rsidR="00F8525B" w:rsidRDefault="00F8525B" w:rsidP="00F8525B">
      <w:pPr>
        <w:pStyle w:val="ListParagraph"/>
        <w:numPr>
          <w:ilvl w:val="0"/>
          <w:numId w:val="3"/>
        </w:numPr>
        <w:spacing w:line="360" w:lineRule="auto"/>
        <w:rPr>
          <w:rFonts w:ascii="Arial" w:hAnsi="Arial" w:cs="Arial"/>
          <w:b/>
          <w:sz w:val="24"/>
          <w:szCs w:val="24"/>
        </w:rPr>
      </w:pPr>
      <w:r>
        <w:rPr>
          <w:rFonts w:ascii="Arial" w:hAnsi="Arial" w:cs="Arial"/>
          <w:b/>
          <w:sz w:val="24"/>
          <w:szCs w:val="24"/>
        </w:rPr>
        <w:t>Antecedentes:</w:t>
      </w:r>
    </w:p>
    <w:p w14:paraId="580A877C" w14:textId="77777777" w:rsidR="00F8525B" w:rsidRPr="00F8525B" w:rsidRDefault="00F8525B" w:rsidP="00F8525B">
      <w:pPr>
        <w:pStyle w:val="ListParagraph"/>
        <w:numPr>
          <w:ilvl w:val="0"/>
          <w:numId w:val="6"/>
        </w:numPr>
        <w:spacing w:line="360" w:lineRule="auto"/>
        <w:jc w:val="both"/>
        <w:rPr>
          <w:rFonts w:ascii="Arial" w:hAnsi="Arial" w:cs="Arial"/>
          <w:b/>
          <w:sz w:val="24"/>
          <w:szCs w:val="24"/>
        </w:rPr>
      </w:pPr>
      <w:r w:rsidRPr="00F8525B">
        <w:rPr>
          <w:rFonts w:ascii="Arial" w:hAnsi="Arial" w:cs="Arial"/>
          <w:sz w:val="24"/>
          <w:szCs w:val="24"/>
        </w:rPr>
        <w:t>Con fecha 11 de junio de 2013 la sede me designó como defensor de oficio de la demandada MOLINOS SA, cargo que acepté el  14 de junio del mismo año y que cumplí diligentemente.</w:t>
      </w:r>
    </w:p>
    <w:p w14:paraId="26FC862D" w14:textId="77777777" w:rsidR="00F8525B" w:rsidRPr="00F8525B" w:rsidRDefault="00F8525B" w:rsidP="00F8525B">
      <w:pPr>
        <w:pStyle w:val="ListParagraph"/>
        <w:numPr>
          <w:ilvl w:val="0"/>
          <w:numId w:val="6"/>
        </w:numPr>
        <w:spacing w:line="360" w:lineRule="auto"/>
        <w:jc w:val="both"/>
        <w:rPr>
          <w:rFonts w:ascii="Arial" w:hAnsi="Arial" w:cs="Arial"/>
          <w:b/>
          <w:sz w:val="24"/>
          <w:szCs w:val="24"/>
        </w:rPr>
      </w:pPr>
      <w:r w:rsidRPr="00F8525B">
        <w:rPr>
          <w:rFonts w:ascii="Arial" w:hAnsi="Arial" w:cs="Arial"/>
          <w:sz w:val="24"/>
          <w:szCs w:val="24"/>
        </w:rPr>
        <w:t xml:space="preserve">En efecto, la INTENDENCIA actora en autos inició juicio ejecutivo tributario contra mi representada </w:t>
      </w:r>
      <w:r w:rsidR="00A25C01">
        <w:rPr>
          <w:rFonts w:ascii="Arial" w:hAnsi="Arial" w:cs="Arial"/>
          <w:sz w:val="24"/>
          <w:szCs w:val="24"/>
        </w:rPr>
        <w:t>reclamando el pago de $ 1.5</w:t>
      </w:r>
      <w:r w:rsidRPr="00F8525B">
        <w:rPr>
          <w:rFonts w:ascii="Arial" w:hAnsi="Arial" w:cs="Arial"/>
          <w:sz w:val="24"/>
          <w:szCs w:val="24"/>
        </w:rPr>
        <w:t>00.</w:t>
      </w:r>
      <w:r w:rsidR="00A25C01">
        <w:rPr>
          <w:rFonts w:ascii="Arial" w:hAnsi="Arial" w:cs="Arial"/>
          <w:sz w:val="24"/>
          <w:szCs w:val="24"/>
        </w:rPr>
        <w:t>000 (pesos uruguayos un millón quinientos</w:t>
      </w:r>
      <w:r w:rsidRPr="00F8525B">
        <w:rPr>
          <w:rFonts w:ascii="Arial" w:hAnsi="Arial" w:cs="Arial"/>
          <w:sz w:val="24"/>
          <w:szCs w:val="24"/>
        </w:rPr>
        <w:t xml:space="preserve"> mil) más recargos en concepto de tributos y multas de acuerdo a la Resolución dictada por el Sr. Director General de Hacienda de la Intendencia el día 7 de febrero de 2012 en el expediente administrativo N° 2011-86-0001 (que luce a fs. 42).</w:t>
      </w:r>
    </w:p>
    <w:p w14:paraId="40B435ED" w14:textId="77777777" w:rsidR="00F8525B" w:rsidRPr="00F8525B" w:rsidRDefault="00F8525B" w:rsidP="00F8525B">
      <w:pPr>
        <w:pStyle w:val="ListParagraph"/>
        <w:numPr>
          <w:ilvl w:val="0"/>
          <w:numId w:val="6"/>
        </w:numPr>
        <w:spacing w:line="360" w:lineRule="auto"/>
        <w:jc w:val="both"/>
        <w:rPr>
          <w:rFonts w:ascii="Arial" w:hAnsi="Arial" w:cs="Arial"/>
          <w:b/>
          <w:sz w:val="24"/>
          <w:szCs w:val="24"/>
        </w:rPr>
      </w:pPr>
      <w:r w:rsidRPr="00F8525B">
        <w:rPr>
          <w:rFonts w:ascii="Arial" w:hAnsi="Arial" w:cs="Arial"/>
          <w:sz w:val="24"/>
          <w:szCs w:val="24"/>
        </w:rPr>
        <w:t>Ante ello, en representación de la demandada contesté oponiendo las fundadas excepciones de inhabilidad de título y de prescripción (parcial) del crédito reclamando, tal como surge del escrito presentado el 28 de junio de 2013.</w:t>
      </w:r>
    </w:p>
    <w:p w14:paraId="5C85AD2C" w14:textId="77777777" w:rsidR="00F8525B" w:rsidRPr="00F8525B" w:rsidRDefault="00F8525B" w:rsidP="00F8525B">
      <w:pPr>
        <w:pStyle w:val="ListParagraph"/>
        <w:numPr>
          <w:ilvl w:val="0"/>
          <w:numId w:val="6"/>
        </w:numPr>
        <w:spacing w:line="360" w:lineRule="auto"/>
        <w:jc w:val="both"/>
        <w:rPr>
          <w:rFonts w:ascii="Arial" w:hAnsi="Arial" w:cs="Arial"/>
          <w:b/>
          <w:i/>
          <w:sz w:val="24"/>
          <w:szCs w:val="24"/>
        </w:rPr>
      </w:pPr>
      <w:r w:rsidRPr="00F8525B">
        <w:rPr>
          <w:rFonts w:ascii="Arial" w:hAnsi="Arial" w:cs="Arial"/>
          <w:sz w:val="24"/>
          <w:szCs w:val="24"/>
        </w:rPr>
        <w:t xml:space="preserve">Seguidamente, de acuerdo a </w:t>
      </w:r>
      <w:r w:rsidR="00AF13BE">
        <w:rPr>
          <w:rFonts w:ascii="Arial" w:hAnsi="Arial" w:cs="Arial"/>
          <w:sz w:val="24"/>
          <w:szCs w:val="24"/>
        </w:rPr>
        <w:t>como surge del escrito a fs. 72</w:t>
      </w:r>
      <w:r w:rsidRPr="00F8525B">
        <w:rPr>
          <w:rFonts w:ascii="Arial" w:hAnsi="Arial" w:cs="Arial"/>
          <w:sz w:val="24"/>
          <w:szCs w:val="24"/>
        </w:rPr>
        <w:t xml:space="preserve">, la parte actora se allanó ante la excepción  de prescripción opuesta. A consecuencia de ello, la sentencia definitiva N° 120/2013 resolvió desestimar la excepción de inhabilidad de título opuesta manteniendo la </w:t>
      </w:r>
      <w:r w:rsidRPr="00F8525B">
        <w:rPr>
          <w:rFonts w:ascii="Arial" w:hAnsi="Arial" w:cs="Arial"/>
          <w:sz w:val="24"/>
          <w:szCs w:val="24"/>
        </w:rPr>
        <w:lastRenderedPageBreak/>
        <w:t xml:space="preserve">condena inicial sin determinar su monto en función </w:t>
      </w:r>
      <w:r>
        <w:rPr>
          <w:rFonts w:ascii="Arial" w:hAnsi="Arial" w:cs="Arial"/>
          <w:i/>
          <w:sz w:val="24"/>
          <w:szCs w:val="24"/>
        </w:rPr>
        <w:t>“</w:t>
      </w:r>
      <w:r w:rsidRPr="00F8525B">
        <w:rPr>
          <w:rFonts w:ascii="Arial" w:hAnsi="Arial" w:cs="Arial"/>
          <w:i/>
          <w:sz w:val="24"/>
          <w:szCs w:val="24"/>
        </w:rPr>
        <w:t>de la excepción de prescripción oportunamente opuesta (fs. 102) debiendo la parte oportunamente reliquidar su crédito”.</w:t>
      </w:r>
      <w:r>
        <w:rPr>
          <w:rFonts w:ascii="Arial" w:hAnsi="Arial" w:cs="Arial"/>
          <w:i/>
          <w:sz w:val="24"/>
          <w:szCs w:val="24"/>
        </w:rPr>
        <w:t xml:space="preserve"> </w:t>
      </w:r>
      <w:r w:rsidRPr="00F8525B">
        <w:rPr>
          <w:rFonts w:ascii="Arial" w:hAnsi="Arial" w:cs="Arial"/>
          <w:sz w:val="24"/>
          <w:szCs w:val="24"/>
        </w:rPr>
        <w:t>Crédito que fue reliquidado por la Intendencia a fs. 131</w:t>
      </w:r>
      <w:r w:rsidR="00A25C01">
        <w:rPr>
          <w:rFonts w:ascii="Arial" w:hAnsi="Arial" w:cs="Arial"/>
          <w:sz w:val="24"/>
          <w:szCs w:val="24"/>
        </w:rPr>
        <w:t>, estimándose en el monto de $ 5</w:t>
      </w:r>
      <w:r w:rsidRPr="00F8525B">
        <w:rPr>
          <w:rFonts w:ascii="Arial" w:hAnsi="Arial" w:cs="Arial"/>
          <w:sz w:val="24"/>
          <w:szCs w:val="24"/>
        </w:rPr>
        <w:t>00.000</w:t>
      </w:r>
      <w:r w:rsidR="00A25C01">
        <w:rPr>
          <w:rFonts w:ascii="Arial" w:hAnsi="Arial" w:cs="Arial"/>
          <w:sz w:val="24"/>
          <w:szCs w:val="24"/>
        </w:rPr>
        <w:t xml:space="preserve"> (pesos uruguayos quinientos mil)</w:t>
      </w:r>
      <w:r w:rsidRPr="00F8525B">
        <w:rPr>
          <w:rFonts w:ascii="Arial" w:hAnsi="Arial" w:cs="Arial"/>
          <w:sz w:val="24"/>
          <w:szCs w:val="24"/>
        </w:rPr>
        <w:t xml:space="preserve"> más ilíquidos, es decir que el crédito reclamado por la actora cont</w:t>
      </w:r>
      <w:r w:rsidR="00A25C01">
        <w:rPr>
          <w:rFonts w:ascii="Arial" w:hAnsi="Arial" w:cs="Arial"/>
          <w:sz w:val="24"/>
          <w:szCs w:val="24"/>
        </w:rPr>
        <w:t xml:space="preserve">ra mi defendida descendió en $ 1.000.0000 (pesos uruguayos un millón) </w:t>
      </w:r>
      <w:r w:rsidRPr="00F8525B">
        <w:rPr>
          <w:rFonts w:ascii="Arial" w:hAnsi="Arial" w:cs="Arial"/>
          <w:sz w:val="24"/>
          <w:szCs w:val="24"/>
        </w:rPr>
        <w:t>debido a mi actuación letrada.</w:t>
      </w:r>
    </w:p>
    <w:p w14:paraId="0F51564A" w14:textId="77777777" w:rsidR="00F8525B" w:rsidRPr="00F8525B" w:rsidRDefault="00AF13BE" w:rsidP="00AF13BE">
      <w:pPr>
        <w:pStyle w:val="ListParagraph"/>
        <w:numPr>
          <w:ilvl w:val="0"/>
          <w:numId w:val="3"/>
        </w:numPr>
        <w:spacing w:after="0" w:line="360" w:lineRule="auto"/>
        <w:jc w:val="both"/>
        <w:rPr>
          <w:rFonts w:ascii="Arial" w:hAnsi="Arial" w:cs="Arial"/>
          <w:b/>
          <w:i/>
          <w:sz w:val="24"/>
          <w:szCs w:val="24"/>
        </w:rPr>
      </w:pPr>
      <w:r>
        <w:rPr>
          <w:rFonts w:ascii="Arial" w:hAnsi="Arial" w:cs="Arial"/>
          <w:b/>
          <w:sz w:val="24"/>
          <w:szCs w:val="24"/>
        </w:rPr>
        <w:t>Presupuestos</w:t>
      </w:r>
      <w:r w:rsidR="00F8525B" w:rsidRPr="00F8525B">
        <w:rPr>
          <w:rFonts w:ascii="Arial" w:hAnsi="Arial" w:cs="Arial"/>
          <w:b/>
          <w:sz w:val="24"/>
          <w:szCs w:val="24"/>
        </w:rPr>
        <w:t>. Legitimación activa.</w:t>
      </w:r>
    </w:p>
    <w:p w14:paraId="3E681E8A" w14:textId="77777777" w:rsidR="00F8525B" w:rsidRDefault="00F8525B" w:rsidP="00AF13BE">
      <w:pPr>
        <w:spacing w:after="0" w:line="360" w:lineRule="auto"/>
        <w:ind w:left="708" w:firstLine="360"/>
        <w:jc w:val="both"/>
        <w:rPr>
          <w:rFonts w:ascii="Arial" w:hAnsi="Arial" w:cs="Arial"/>
          <w:sz w:val="24"/>
          <w:szCs w:val="24"/>
        </w:rPr>
      </w:pPr>
      <w:r w:rsidRPr="00F8525B">
        <w:rPr>
          <w:rFonts w:ascii="Arial" w:hAnsi="Arial" w:cs="Arial"/>
          <w:sz w:val="24"/>
          <w:szCs w:val="24"/>
        </w:rPr>
        <w:t>El inciso segundo del artículo 144 de la ley 15.750 (en adelante “LOT), establece los presupuestos esenciales para que tenga lugar el proceso de regulación de honorarios. En este sentido, la referida disposición establece que los honorarios deben haber sudo generados en actividad judicial y no haber sido concertados.</w:t>
      </w:r>
    </w:p>
    <w:p w14:paraId="3B685CD0" w14:textId="77777777" w:rsidR="00AF13BE" w:rsidRDefault="00AF13BE" w:rsidP="00F8525B">
      <w:pPr>
        <w:spacing w:line="360" w:lineRule="auto"/>
        <w:ind w:left="708" w:firstLine="360"/>
        <w:jc w:val="both"/>
        <w:rPr>
          <w:rFonts w:ascii="Arial" w:hAnsi="Arial" w:cs="Arial"/>
          <w:sz w:val="24"/>
          <w:szCs w:val="24"/>
        </w:rPr>
      </w:pPr>
      <w:r>
        <w:rPr>
          <w:rFonts w:ascii="Arial" w:hAnsi="Arial" w:cs="Arial"/>
          <w:sz w:val="24"/>
          <w:szCs w:val="24"/>
        </w:rPr>
        <w:t>En el caso de autos, como surge del propio expediente, fui designado como defensor, por lo que la actividad desarrollada (previamente descripta) fue íntegramente judicial y no tuve oportunidad alguna de concertar los honorarios, dada la propia naturaleza del cargo asumido. Cabe mencionar también que la Sede que me designó, en ningún momento fijó un monto respecto a mis honorarios ni se realizó depósito alguno para cubrir dicho rubro.</w:t>
      </w:r>
    </w:p>
    <w:p w14:paraId="2DBD78BF" w14:textId="77777777" w:rsidR="00AF13BE" w:rsidRDefault="00AF13BE" w:rsidP="00F8525B">
      <w:pPr>
        <w:spacing w:line="360" w:lineRule="auto"/>
        <w:ind w:left="708" w:firstLine="360"/>
        <w:jc w:val="both"/>
        <w:rPr>
          <w:rFonts w:ascii="Arial" w:hAnsi="Arial" w:cs="Arial"/>
          <w:sz w:val="24"/>
          <w:szCs w:val="24"/>
        </w:rPr>
      </w:pPr>
      <w:r>
        <w:rPr>
          <w:rFonts w:ascii="Arial" w:hAnsi="Arial" w:cs="Arial"/>
          <w:sz w:val="24"/>
          <w:szCs w:val="24"/>
        </w:rPr>
        <w:t xml:space="preserve">Por otra parte y en cuanto a la legitimación activa que me ampara, el mismo inciso establece en forma amplia que se encuentran legitimados para reclamar el </w:t>
      </w:r>
      <w:r w:rsidRPr="00AF13BE">
        <w:rPr>
          <w:rFonts w:ascii="Arial" w:hAnsi="Arial" w:cs="Arial"/>
          <w:i/>
          <w:sz w:val="24"/>
          <w:szCs w:val="24"/>
        </w:rPr>
        <w:t>pago “cualquiera de los interesados en su cobro o en su pago”</w:t>
      </w:r>
      <w:r>
        <w:rPr>
          <w:rFonts w:ascii="Arial" w:hAnsi="Arial" w:cs="Arial"/>
          <w:i/>
          <w:sz w:val="24"/>
          <w:szCs w:val="24"/>
        </w:rPr>
        <w:t xml:space="preserve">, </w:t>
      </w:r>
      <w:r>
        <w:rPr>
          <w:rFonts w:ascii="Arial" w:hAnsi="Arial" w:cs="Arial"/>
          <w:sz w:val="24"/>
          <w:szCs w:val="24"/>
        </w:rPr>
        <w:t>por lo que en mi calidad de letrado defensor en el juicio que da origen a este reclamo, tengo claro interés en el cobro.</w:t>
      </w:r>
    </w:p>
    <w:p w14:paraId="58CE016A" w14:textId="77777777" w:rsidR="00AF13BE" w:rsidRDefault="00AF13BE" w:rsidP="00F8525B">
      <w:pPr>
        <w:spacing w:line="360" w:lineRule="auto"/>
        <w:ind w:left="708" w:firstLine="360"/>
        <w:jc w:val="both"/>
        <w:rPr>
          <w:rFonts w:ascii="Arial" w:hAnsi="Arial" w:cs="Arial"/>
          <w:sz w:val="24"/>
          <w:szCs w:val="24"/>
        </w:rPr>
      </w:pPr>
      <w:r>
        <w:rPr>
          <w:rFonts w:ascii="Arial" w:hAnsi="Arial" w:cs="Arial"/>
          <w:sz w:val="24"/>
          <w:szCs w:val="24"/>
        </w:rPr>
        <w:t>Por tanto, al haber actuado en el caso sin haber percibido aún honorario alguno mi legitimación activa en este proceso se encuentra más que fundada.</w:t>
      </w:r>
    </w:p>
    <w:p w14:paraId="72192B07" w14:textId="77777777" w:rsidR="00AF13BE" w:rsidRPr="00AF13BE" w:rsidRDefault="00AF13BE" w:rsidP="00F8525B">
      <w:pPr>
        <w:spacing w:line="360" w:lineRule="auto"/>
        <w:ind w:left="708" w:firstLine="360"/>
        <w:jc w:val="both"/>
        <w:rPr>
          <w:rFonts w:ascii="Arial" w:hAnsi="Arial" w:cs="Arial"/>
          <w:b/>
          <w:sz w:val="24"/>
          <w:szCs w:val="24"/>
        </w:rPr>
      </w:pPr>
      <w:r>
        <w:rPr>
          <w:rFonts w:ascii="Arial" w:hAnsi="Arial" w:cs="Arial"/>
          <w:b/>
          <w:sz w:val="24"/>
          <w:szCs w:val="24"/>
        </w:rPr>
        <w:t>C) Legitimación pasiva. Condena en costas y costos contra la Intendencia de Montevideo.</w:t>
      </w:r>
    </w:p>
    <w:p w14:paraId="4A949E7C" w14:textId="77777777" w:rsidR="00F8525B" w:rsidRDefault="00AF13BE" w:rsidP="003D7B35">
      <w:pPr>
        <w:spacing w:after="0"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t xml:space="preserve">El honorario generado por la actuación judicial antes descripta y que surge de los autos principales, se reclama </w:t>
      </w:r>
      <w:r>
        <w:rPr>
          <w:rFonts w:ascii="Arial" w:hAnsi="Arial" w:cs="Arial"/>
          <w:i/>
          <w:sz w:val="24"/>
          <w:szCs w:val="24"/>
        </w:rPr>
        <w:t xml:space="preserve">contra la parte contraria </w:t>
      </w:r>
      <w:r>
        <w:rPr>
          <w:rFonts w:ascii="Arial" w:hAnsi="Arial" w:cs="Arial"/>
          <w:sz w:val="24"/>
          <w:szCs w:val="24"/>
        </w:rPr>
        <w:t>por haber sido ésta condenad en costos (inciso 3° del artículo 144 de la LOT)</w:t>
      </w:r>
      <w:r w:rsidR="0086643A">
        <w:rPr>
          <w:rFonts w:ascii="Arial" w:hAnsi="Arial" w:cs="Arial"/>
          <w:sz w:val="24"/>
          <w:szCs w:val="24"/>
        </w:rPr>
        <w:t xml:space="preserve"> en función de lo establecido por el inciso 13° del artículo 144 de la LOT, en tanto dispone que:</w:t>
      </w:r>
    </w:p>
    <w:p w14:paraId="4290C719" w14:textId="77777777" w:rsidR="0086643A" w:rsidRDefault="0086643A" w:rsidP="003D7B35">
      <w:pPr>
        <w:spacing w:after="0" w:line="360" w:lineRule="auto"/>
        <w:jc w:val="both"/>
        <w:rPr>
          <w:rFonts w:ascii="Arial" w:hAnsi="Arial" w:cs="Arial"/>
          <w:i/>
          <w:sz w:val="24"/>
          <w:szCs w:val="24"/>
        </w:rPr>
      </w:pPr>
      <w:r>
        <w:rPr>
          <w:rFonts w:ascii="Arial" w:hAnsi="Arial" w:cs="Arial"/>
          <w:sz w:val="24"/>
          <w:szCs w:val="24"/>
        </w:rPr>
        <w:tab/>
        <w:t>“</w:t>
      </w:r>
      <w:r>
        <w:rPr>
          <w:rFonts w:ascii="Arial" w:hAnsi="Arial" w:cs="Arial"/>
          <w:i/>
          <w:sz w:val="24"/>
          <w:szCs w:val="24"/>
        </w:rPr>
        <w:t>Mediando condenación en costos, el honorario cuyo honorario no hubiere sido satisfecho por su patrocinado tendrá derecho a reclamarlo de éste o del condenado”.</w:t>
      </w:r>
    </w:p>
    <w:p w14:paraId="4732F1EF" w14:textId="77777777" w:rsidR="009B553D" w:rsidRDefault="0086643A" w:rsidP="003D7B35">
      <w:pPr>
        <w:spacing w:after="0" w:line="360" w:lineRule="auto"/>
        <w:jc w:val="both"/>
        <w:rPr>
          <w:rFonts w:ascii="Arial" w:hAnsi="Arial" w:cs="Arial"/>
          <w:sz w:val="24"/>
          <w:szCs w:val="24"/>
        </w:rPr>
      </w:pPr>
      <w:r>
        <w:rPr>
          <w:rFonts w:ascii="Arial" w:hAnsi="Arial" w:cs="Arial"/>
          <w:i/>
          <w:sz w:val="24"/>
          <w:szCs w:val="24"/>
        </w:rPr>
        <w:tab/>
      </w:r>
      <w:r>
        <w:rPr>
          <w:rFonts w:ascii="Arial" w:hAnsi="Arial" w:cs="Arial"/>
          <w:sz w:val="24"/>
          <w:szCs w:val="24"/>
        </w:rPr>
        <w:t>En efecto, la referida Sentencia N° 120/2013 estableció la condena en costas y costos contra la Intendencia (fs. 121 vto.), tal como es de precepto de acuerdo a lo establecido en el artículo 358.4 CGP en los casos de pretensiones desestimadas. Y en la medida en que la sentencia acoge la excepción d</w:t>
      </w:r>
      <w:r w:rsidR="00ED6655">
        <w:rPr>
          <w:rFonts w:ascii="Arial" w:hAnsi="Arial" w:cs="Arial"/>
          <w:sz w:val="24"/>
          <w:szCs w:val="24"/>
        </w:rPr>
        <w:t>e prescripción, desestima en el 66%</w:t>
      </w:r>
      <w:r>
        <w:rPr>
          <w:rFonts w:ascii="Arial" w:hAnsi="Arial" w:cs="Arial"/>
          <w:sz w:val="24"/>
          <w:szCs w:val="24"/>
        </w:rPr>
        <w:t xml:space="preserve"> de su pretensión. Considerando además que de acuerdo al artículo 688 del Código Civil: “</w:t>
      </w:r>
      <w:r>
        <w:rPr>
          <w:rFonts w:ascii="Arial" w:hAnsi="Arial" w:cs="Arial"/>
          <w:i/>
          <w:sz w:val="24"/>
          <w:szCs w:val="24"/>
        </w:rPr>
        <w:t xml:space="preserve">Se consideran costos, los honorarios de los abogados y de los procuradores” </w:t>
      </w:r>
      <w:r w:rsidRPr="0086643A">
        <w:rPr>
          <w:rFonts w:ascii="Arial" w:hAnsi="Arial" w:cs="Arial"/>
          <w:sz w:val="24"/>
          <w:szCs w:val="24"/>
        </w:rPr>
        <w:t xml:space="preserve">corresponde que la </w:t>
      </w:r>
      <w:r>
        <w:rPr>
          <w:rFonts w:ascii="Arial" w:hAnsi="Arial" w:cs="Arial"/>
          <w:sz w:val="24"/>
          <w:szCs w:val="24"/>
        </w:rPr>
        <w:t>Intendencia cumpla con el adeudo al que fue condenada por la sentencia mencionada.</w:t>
      </w:r>
    </w:p>
    <w:p w14:paraId="08782E3A" w14:textId="77777777" w:rsidR="009B553D" w:rsidRDefault="009B553D" w:rsidP="003D7B35">
      <w:pPr>
        <w:spacing w:after="0" w:line="360" w:lineRule="auto"/>
        <w:jc w:val="both"/>
        <w:rPr>
          <w:rFonts w:ascii="Arial" w:hAnsi="Arial" w:cs="Arial"/>
          <w:sz w:val="24"/>
          <w:szCs w:val="24"/>
        </w:rPr>
      </w:pPr>
      <w:r>
        <w:rPr>
          <w:rFonts w:ascii="Arial" w:hAnsi="Arial" w:cs="Arial"/>
          <w:sz w:val="24"/>
          <w:szCs w:val="24"/>
        </w:rPr>
        <w:tab/>
        <w:t>Es decir que, ante la omisión de la patrocinada dicho ente se encuentra obligado al pago de los honorarios del letrado patrocinante a su demandado.</w:t>
      </w:r>
    </w:p>
    <w:p w14:paraId="059216BB" w14:textId="77777777" w:rsidR="009B553D" w:rsidRDefault="009B553D" w:rsidP="003D7B35">
      <w:pPr>
        <w:spacing w:after="0" w:line="360" w:lineRule="auto"/>
        <w:jc w:val="both"/>
        <w:rPr>
          <w:rFonts w:ascii="Arial" w:hAnsi="Arial" w:cs="Arial"/>
          <w:sz w:val="24"/>
          <w:szCs w:val="24"/>
        </w:rPr>
      </w:pPr>
      <w:r>
        <w:rPr>
          <w:rFonts w:ascii="Arial" w:hAnsi="Arial" w:cs="Arial"/>
          <w:sz w:val="24"/>
          <w:szCs w:val="24"/>
        </w:rPr>
        <w:tab/>
        <w:t>Además, así lo ha entendido nuestra doctrina “</w:t>
      </w:r>
      <w:r>
        <w:rPr>
          <w:rFonts w:ascii="Arial" w:hAnsi="Arial" w:cs="Arial"/>
          <w:i/>
          <w:sz w:val="24"/>
          <w:szCs w:val="24"/>
        </w:rPr>
        <w:t xml:space="preserve">Cuando ha mediado condena en costos, el inciso 13 permite que el Abogado sustituya a su cliente, reclamándolos contra el condenado en costos en caso de omisión de su patrocinado” </w:t>
      </w:r>
      <w:r>
        <w:rPr>
          <w:rFonts w:ascii="Arial" w:hAnsi="Arial" w:cs="Arial"/>
          <w:sz w:val="24"/>
          <w:szCs w:val="24"/>
        </w:rPr>
        <w:t>(FRESSIA, Gloria y AMGOTCHIAN, Sergio en “</w:t>
      </w:r>
      <w:r w:rsidRPr="009B553D">
        <w:rPr>
          <w:rFonts w:ascii="Arial" w:hAnsi="Arial" w:cs="Arial"/>
          <w:i/>
          <w:sz w:val="24"/>
          <w:szCs w:val="24"/>
        </w:rPr>
        <w:t>Curso de Derecho Procesal</w:t>
      </w:r>
      <w:r>
        <w:rPr>
          <w:rFonts w:ascii="Arial" w:hAnsi="Arial" w:cs="Arial"/>
          <w:sz w:val="24"/>
          <w:szCs w:val="24"/>
        </w:rPr>
        <w:t>”, Tomo V Volumen II, IUDP, FCU; Montevideo 1989, pág. 348).</w:t>
      </w:r>
    </w:p>
    <w:p w14:paraId="507EA520" w14:textId="77777777" w:rsidR="009B553D" w:rsidRDefault="009B553D" w:rsidP="003D7B35">
      <w:pPr>
        <w:spacing w:after="0" w:line="360" w:lineRule="auto"/>
        <w:jc w:val="both"/>
        <w:rPr>
          <w:rFonts w:ascii="Arial" w:hAnsi="Arial" w:cs="Arial"/>
          <w:i/>
          <w:sz w:val="24"/>
          <w:szCs w:val="24"/>
        </w:rPr>
      </w:pPr>
      <w:r>
        <w:rPr>
          <w:rFonts w:ascii="Arial" w:hAnsi="Arial" w:cs="Arial"/>
          <w:sz w:val="24"/>
          <w:szCs w:val="24"/>
        </w:rPr>
        <w:tab/>
        <w:t>Criterio éste que ha sido seguido por nuestra jurisprudencia: “</w:t>
      </w:r>
      <w:r>
        <w:rPr>
          <w:rFonts w:ascii="Arial" w:hAnsi="Arial" w:cs="Arial"/>
          <w:i/>
          <w:sz w:val="24"/>
          <w:szCs w:val="24"/>
        </w:rPr>
        <w:t>En efecto y según el criterio asumido por el Tribunal debe reconocerse que el profesional que asistió al demandado en el acordonado, beneficiado por la condena en costas y costos, está legitimado para pretender la regulación y el cobro de honorarios sin necesidad de intervención de su patrocinado.</w:t>
      </w:r>
    </w:p>
    <w:p w14:paraId="2591A860" w14:textId="77777777" w:rsidR="009B553D" w:rsidRDefault="009B553D" w:rsidP="003D7B35">
      <w:pPr>
        <w:spacing w:after="0" w:line="360" w:lineRule="auto"/>
        <w:jc w:val="both"/>
        <w:rPr>
          <w:rFonts w:ascii="Arial" w:hAnsi="Arial" w:cs="Arial"/>
          <w:sz w:val="24"/>
          <w:szCs w:val="24"/>
        </w:rPr>
      </w:pPr>
      <w:r>
        <w:rPr>
          <w:rFonts w:ascii="Arial" w:hAnsi="Arial" w:cs="Arial"/>
          <w:i/>
          <w:sz w:val="24"/>
          <w:szCs w:val="24"/>
        </w:rPr>
        <w:tab/>
        <w:t xml:space="preserve">(…)Precisamente, porque el abogado tiene un crédito por honorarios contra su cliente y éste a su vez, tiene un crédito contra el vencido condenado en costos, con lo que el abogado puede limitarse a reclamar los honorarios a su cliente, con intervención del vencido que conforma preceptivamente el litisconsorcio pasivo, pero también puede percibirlos de la parte condenada en costos, demandando a </w:t>
      </w:r>
      <w:r>
        <w:rPr>
          <w:rFonts w:ascii="Arial" w:hAnsi="Arial" w:cs="Arial"/>
          <w:i/>
          <w:sz w:val="24"/>
          <w:szCs w:val="24"/>
        </w:rPr>
        <w:lastRenderedPageBreak/>
        <w:t xml:space="preserve">éste, actuando una relación sustantiva </w:t>
      </w:r>
      <w:r w:rsidR="00B67E7B">
        <w:rPr>
          <w:rFonts w:ascii="Arial" w:hAnsi="Arial" w:cs="Arial"/>
          <w:i/>
          <w:sz w:val="24"/>
          <w:szCs w:val="24"/>
        </w:rPr>
        <w:t xml:space="preserve">ajena pero en nombre propio, concretando un fenómeno de sustitución procesal…” </w:t>
      </w:r>
      <w:r w:rsidR="00B67E7B">
        <w:rPr>
          <w:rFonts w:ascii="Arial" w:hAnsi="Arial" w:cs="Arial"/>
          <w:sz w:val="24"/>
          <w:szCs w:val="24"/>
        </w:rPr>
        <w:t>(TAC 4° Sent. N°128/2013 del 24/07/2013 en RUDP N°2/2014).</w:t>
      </w:r>
    </w:p>
    <w:p w14:paraId="5FF525FE" w14:textId="77777777" w:rsidR="00B67E7B" w:rsidRDefault="00B67E7B" w:rsidP="003D7B35">
      <w:pPr>
        <w:spacing w:after="0" w:line="360" w:lineRule="auto"/>
        <w:jc w:val="both"/>
        <w:rPr>
          <w:rFonts w:ascii="Arial" w:hAnsi="Arial" w:cs="Arial"/>
          <w:sz w:val="24"/>
          <w:szCs w:val="24"/>
        </w:rPr>
      </w:pPr>
      <w:r>
        <w:rPr>
          <w:rFonts w:ascii="Arial" w:hAnsi="Arial" w:cs="Arial"/>
          <w:sz w:val="24"/>
          <w:szCs w:val="24"/>
        </w:rPr>
        <w:tab/>
        <w:t>En consecuencia, es la Intendencia quien debe pagar los honorarios correspondientes a la pretensión que le fuera parcialmente desestimada, no solo porque a ello la condena la sentencia, sino porque ello impone la ley procesal.</w:t>
      </w:r>
    </w:p>
    <w:p w14:paraId="5ABF672D" w14:textId="77777777" w:rsidR="004C73A3" w:rsidRPr="004C73A3" w:rsidRDefault="004C73A3" w:rsidP="004C73A3">
      <w:pPr>
        <w:pStyle w:val="ListParagraph"/>
        <w:numPr>
          <w:ilvl w:val="0"/>
          <w:numId w:val="7"/>
        </w:numPr>
        <w:spacing w:line="360" w:lineRule="auto"/>
        <w:jc w:val="both"/>
        <w:rPr>
          <w:rFonts w:ascii="Arial" w:hAnsi="Arial" w:cs="Arial"/>
          <w:b/>
          <w:sz w:val="24"/>
          <w:szCs w:val="24"/>
        </w:rPr>
      </w:pPr>
      <w:r w:rsidRPr="004C73A3">
        <w:rPr>
          <w:rFonts w:ascii="Arial" w:hAnsi="Arial" w:cs="Arial"/>
          <w:b/>
          <w:sz w:val="24"/>
          <w:szCs w:val="24"/>
        </w:rPr>
        <w:t>Determinación del honorario.</w:t>
      </w:r>
    </w:p>
    <w:p w14:paraId="7BE60462" w14:textId="77777777" w:rsidR="004C73A3" w:rsidRDefault="006F2685" w:rsidP="003D7B35">
      <w:pPr>
        <w:spacing w:after="0" w:line="360" w:lineRule="auto"/>
        <w:ind w:firstLine="360"/>
        <w:jc w:val="both"/>
        <w:rPr>
          <w:rFonts w:ascii="Arial" w:hAnsi="Arial" w:cs="Arial"/>
          <w:i/>
          <w:sz w:val="24"/>
          <w:szCs w:val="24"/>
        </w:rPr>
      </w:pPr>
      <w:r>
        <w:rPr>
          <w:rFonts w:ascii="Arial" w:hAnsi="Arial" w:cs="Arial"/>
          <w:sz w:val="24"/>
          <w:szCs w:val="24"/>
        </w:rPr>
        <w:t>La norma aplicable establece que “</w:t>
      </w:r>
      <w:r>
        <w:rPr>
          <w:rFonts w:ascii="Arial" w:hAnsi="Arial" w:cs="Arial"/>
          <w:i/>
          <w:sz w:val="24"/>
          <w:szCs w:val="24"/>
        </w:rPr>
        <w:t>Los honorarios generados en actividad judicial que no hayan sido concertados, serán regulados…por el juez de la causa (artículo 31) el que, a tales efectos, tendrá en cuenta, la importancia económica del asunto de acuerdo a los valores de la fecha de la demanda de regulación, su complejidad, el trabajo realizado, la eficacia de los servicios profesionales y en cuanto corresponda, el arancel de la asociación profesional vigente en el momento de presentarse la demanda de regulación”.</w:t>
      </w:r>
    </w:p>
    <w:p w14:paraId="4243180A" w14:textId="77777777" w:rsidR="006F2685" w:rsidRDefault="00F405BF" w:rsidP="003D7B35">
      <w:pPr>
        <w:spacing w:after="0" w:line="360" w:lineRule="auto"/>
        <w:jc w:val="both"/>
        <w:rPr>
          <w:rFonts w:ascii="Arial" w:hAnsi="Arial" w:cs="Arial"/>
          <w:sz w:val="24"/>
          <w:szCs w:val="24"/>
        </w:rPr>
      </w:pPr>
      <w:r>
        <w:rPr>
          <w:rFonts w:ascii="Arial" w:hAnsi="Arial" w:cs="Arial"/>
          <w:i/>
          <w:sz w:val="24"/>
          <w:szCs w:val="24"/>
        </w:rPr>
        <w:tab/>
      </w:r>
      <w:r>
        <w:rPr>
          <w:rFonts w:ascii="Arial" w:hAnsi="Arial" w:cs="Arial"/>
          <w:sz w:val="24"/>
          <w:szCs w:val="24"/>
        </w:rPr>
        <w:t>En cuanto a la importancia económica surge de obrados que el juicio ejecutivo trabado por la Intendencia contra mi defendida ascendía a un monto exorbitante. Por lo que es dable pensar que la importancia económica del juicio es de destacar,  no solo para la actora sino también para la empresa involucrada, considerando que el reclamo inicial rondaba el millón de pesos.</w:t>
      </w:r>
    </w:p>
    <w:p w14:paraId="22FE1BF7" w14:textId="77777777" w:rsidR="00F405BF" w:rsidRDefault="00F405BF" w:rsidP="003D7B35">
      <w:pPr>
        <w:spacing w:after="0" w:line="360" w:lineRule="auto"/>
        <w:jc w:val="both"/>
        <w:rPr>
          <w:rFonts w:ascii="Arial" w:hAnsi="Arial" w:cs="Arial"/>
          <w:sz w:val="24"/>
          <w:szCs w:val="24"/>
        </w:rPr>
      </w:pPr>
      <w:r>
        <w:rPr>
          <w:rFonts w:ascii="Arial" w:hAnsi="Arial" w:cs="Arial"/>
          <w:sz w:val="24"/>
          <w:szCs w:val="24"/>
        </w:rPr>
        <w:tab/>
        <w:t>Por otra parte, en lo relativo a la evaluación de la labor profesional</w:t>
      </w:r>
      <w:r w:rsidR="003D7B35">
        <w:rPr>
          <w:rFonts w:ascii="Arial" w:hAnsi="Arial" w:cs="Arial"/>
          <w:sz w:val="24"/>
          <w:szCs w:val="24"/>
        </w:rPr>
        <w:t>, debe tenerse presente que se trata de un juicio ejecutivo en materia tributaria con la complejidad que ésta acarrea. A lo que se debe agregar que el trabajo realizado por mi permiti</w:t>
      </w:r>
      <w:r w:rsidR="00ED6655">
        <w:rPr>
          <w:rFonts w:ascii="Arial" w:hAnsi="Arial" w:cs="Arial"/>
          <w:sz w:val="24"/>
          <w:szCs w:val="24"/>
        </w:rPr>
        <w:t>ó a la defendida disminuir un 66</w:t>
      </w:r>
      <w:r w:rsidR="003D7B35">
        <w:rPr>
          <w:rFonts w:ascii="Arial" w:hAnsi="Arial" w:cs="Arial"/>
          <w:sz w:val="24"/>
          <w:szCs w:val="24"/>
        </w:rPr>
        <w:t>% el adeudo que se le reclamaba por la Intendencia actora; lo cual demuestra no solo la eficiencia de la actuación sino también la responsabilidad con la que fue asumido el cargo de defensor.</w:t>
      </w:r>
    </w:p>
    <w:p w14:paraId="09838E87" w14:textId="77777777" w:rsidR="003D7B35" w:rsidRDefault="003D7B35" w:rsidP="003D7B35">
      <w:pPr>
        <w:spacing w:after="0" w:line="360" w:lineRule="auto"/>
        <w:jc w:val="both"/>
        <w:rPr>
          <w:rFonts w:ascii="Arial" w:hAnsi="Arial" w:cs="Arial"/>
          <w:sz w:val="24"/>
          <w:szCs w:val="24"/>
        </w:rPr>
      </w:pPr>
      <w:r>
        <w:rPr>
          <w:rFonts w:ascii="Arial" w:hAnsi="Arial" w:cs="Arial"/>
          <w:sz w:val="24"/>
          <w:szCs w:val="24"/>
        </w:rPr>
        <w:tab/>
        <w:t>Por ello, en cuanto a la estimación del monto de los honorarios, corresponde estar a las resultancias de autos. De allí surge que la Intendencia en cumplimiento de la Sentencia N°120/2013, presentó su reliquidación estimando el crédito a reclamar en</w:t>
      </w:r>
      <w:r w:rsidR="00ED6655">
        <w:rPr>
          <w:rFonts w:ascii="Arial" w:hAnsi="Arial" w:cs="Arial"/>
          <w:sz w:val="24"/>
          <w:szCs w:val="24"/>
        </w:rPr>
        <w:t xml:space="preserve"> $5</w:t>
      </w:r>
      <w:r>
        <w:rPr>
          <w:rFonts w:ascii="Arial" w:hAnsi="Arial" w:cs="Arial"/>
          <w:sz w:val="24"/>
          <w:szCs w:val="24"/>
        </w:rPr>
        <w:t>00.000 más ilíquidos. Es decir, la defensa desarrollada dio lugar a un aho</w:t>
      </w:r>
      <w:r w:rsidR="00ED6655">
        <w:rPr>
          <w:rFonts w:ascii="Arial" w:hAnsi="Arial" w:cs="Arial"/>
          <w:sz w:val="24"/>
          <w:szCs w:val="24"/>
        </w:rPr>
        <w:t>rro de $1.0</w:t>
      </w:r>
      <w:r>
        <w:rPr>
          <w:rFonts w:ascii="Arial" w:hAnsi="Arial" w:cs="Arial"/>
          <w:sz w:val="24"/>
          <w:szCs w:val="24"/>
        </w:rPr>
        <w:t xml:space="preserve">00.000 en el adeudo reclamado por la Intendencia, siendo éste el monto a considerar como base para el cálculo del honorario de </w:t>
      </w:r>
      <w:r>
        <w:rPr>
          <w:rFonts w:ascii="Arial" w:hAnsi="Arial" w:cs="Arial"/>
          <w:sz w:val="24"/>
          <w:szCs w:val="24"/>
        </w:rPr>
        <w:lastRenderedPageBreak/>
        <w:t>acuerdo a los parámetros fijados por el Arancel del Colegio de Abogados del Uruguay.</w:t>
      </w:r>
    </w:p>
    <w:p w14:paraId="16FF8293" w14:textId="77777777" w:rsidR="003D7B35" w:rsidRDefault="00A25C01" w:rsidP="003D7B35">
      <w:pPr>
        <w:spacing w:after="0" w:line="360" w:lineRule="auto"/>
        <w:jc w:val="both"/>
        <w:rPr>
          <w:rFonts w:ascii="Arial" w:hAnsi="Arial" w:cs="Arial"/>
          <w:sz w:val="24"/>
          <w:szCs w:val="24"/>
        </w:rPr>
      </w:pPr>
      <w:r>
        <w:rPr>
          <w:rFonts w:ascii="Arial" w:hAnsi="Arial" w:cs="Arial"/>
          <w:sz w:val="24"/>
          <w:szCs w:val="24"/>
        </w:rPr>
        <w:tab/>
        <w:t>En consecuencia y de acuerdo a la liquidación que se detalla a continuación la ejecución so</w:t>
      </w:r>
      <w:r w:rsidR="00ED6655">
        <w:rPr>
          <w:rFonts w:ascii="Arial" w:hAnsi="Arial" w:cs="Arial"/>
          <w:sz w:val="24"/>
          <w:szCs w:val="24"/>
        </w:rPr>
        <w:t>licitada asciende al monto de 836,1 UR más los intereses que legalmente corresponde desde la fecha de interposición de la presente demanda y más el IVA (22%) del monto total a cobrar.</w:t>
      </w:r>
    </w:p>
    <w:p w14:paraId="6340F759" w14:textId="77777777" w:rsidR="00F24320" w:rsidRDefault="00F24320" w:rsidP="003D7B35">
      <w:pPr>
        <w:spacing w:after="0"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3936"/>
        <w:gridCol w:w="1826"/>
        <w:gridCol w:w="2882"/>
      </w:tblGrid>
      <w:tr w:rsidR="00F24320" w:rsidRPr="00F24320" w14:paraId="4A3E8491" w14:textId="77777777" w:rsidTr="00F24320">
        <w:tc>
          <w:tcPr>
            <w:tcW w:w="3936" w:type="dxa"/>
            <w:tcBorders>
              <w:top w:val="nil"/>
              <w:left w:val="nil"/>
            </w:tcBorders>
          </w:tcPr>
          <w:p w14:paraId="4E5E0924" w14:textId="77777777" w:rsidR="00F24320" w:rsidRPr="00F24320" w:rsidRDefault="00F24320" w:rsidP="00F24320">
            <w:pPr>
              <w:spacing w:line="360" w:lineRule="auto"/>
              <w:jc w:val="both"/>
              <w:rPr>
                <w:rFonts w:ascii="Arial" w:hAnsi="Arial" w:cs="Arial"/>
                <w:sz w:val="24"/>
                <w:szCs w:val="24"/>
              </w:rPr>
            </w:pPr>
          </w:p>
        </w:tc>
        <w:tc>
          <w:tcPr>
            <w:tcW w:w="1826" w:type="dxa"/>
          </w:tcPr>
          <w:p w14:paraId="089194EE" w14:textId="77777777" w:rsidR="00F24320" w:rsidRPr="00F24320" w:rsidRDefault="00F24320" w:rsidP="00F24320">
            <w:pPr>
              <w:spacing w:line="360" w:lineRule="auto"/>
              <w:jc w:val="center"/>
              <w:rPr>
                <w:rFonts w:ascii="Arial" w:hAnsi="Arial" w:cs="Arial"/>
                <w:b/>
                <w:sz w:val="24"/>
                <w:szCs w:val="24"/>
              </w:rPr>
            </w:pPr>
            <w:r w:rsidRPr="00F24320">
              <w:rPr>
                <w:rFonts w:ascii="Arial" w:hAnsi="Arial" w:cs="Arial"/>
                <w:b/>
                <w:sz w:val="24"/>
                <w:szCs w:val="24"/>
              </w:rPr>
              <w:t>En pesos</w:t>
            </w:r>
          </w:p>
        </w:tc>
        <w:tc>
          <w:tcPr>
            <w:tcW w:w="2882" w:type="dxa"/>
          </w:tcPr>
          <w:p w14:paraId="540B22AF" w14:textId="77777777" w:rsidR="00F24320" w:rsidRPr="00F24320" w:rsidRDefault="00F24320" w:rsidP="00F24320">
            <w:pPr>
              <w:spacing w:line="360" w:lineRule="auto"/>
              <w:jc w:val="center"/>
              <w:rPr>
                <w:rFonts w:ascii="Arial" w:hAnsi="Arial" w:cs="Arial"/>
                <w:b/>
                <w:sz w:val="24"/>
                <w:szCs w:val="24"/>
              </w:rPr>
            </w:pPr>
            <w:r w:rsidRPr="00F24320">
              <w:rPr>
                <w:rFonts w:ascii="Arial" w:hAnsi="Arial" w:cs="Arial"/>
                <w:b/>
                <w:sz w:val="24"/>
                <w:szCs w:val="24"/>
              </w:rPr>
              <w:t>En UR</w:t>
            </w:r>
          </w:p>
        </w:tc>
      </w:tr>
      <w:tr w:rsidR="00F24320" w:rsidRPr="00F24320" w14:paraId="2DB53D42" w14:textId="77777777" w:rsidTr="00F24320">
        <w:tc>
          <w:tcPr>
            <w:tcW w:w="3936" w:type="dxa"/>
          </w:tcPr>
          <w:p w14:paraId="5B708537" w14:textId="77777777" w:rsidR="00F24320" w:rsidRPr="00F24320" w:rsidRDefault="00F24320" w:rsidP="00F24320">
            <w:pPr>
              <w:spacing w:line="360" w:lineRule="auto"/>
              <w:jc w:val="both"/>
              <w:rPr>
                <w:rFonts w:ascii="Arial" w:hAnsi="Arial" w:cs="Arial"/>
                <w:b/>
                <w:sz w:val="24"/>
                <w:szCs w:val="24"/>
              </w:rPr>
            </w:pPr>
            <w:r w:rsidRPr="00F24320">
              <w:rPr>
                <w:rFonts w:ascii="Arial" w:hAnsi="Arial" w:cs="Arial"/>
                <w:b/>
                <w:sz w:val="24"/>
                <w:szCs w:val="24"/>
              </w:rPr>
              <w:t>Monto inicialmente reclamado</w:t>
            </w:r>
          </w:p>
        </w:tc>
        <w:tc>
          <w:tcPr>
            <w:tcW w:w="1826" w:type="dxa"/>
          </w:tcPr>
          <w:p w14:paraId="06B38752" w14:textId="77777777" w:rsidR="00F24320" w:rsidRPr="00F24320" w:rsidRDefault="00F24320" w:rsidP="00F24320">
            <w:pPr>
              <w:spacing w:line="360" w:lineRule="auto"/>
              <w:jc w:val="center"/>
              <w:rPr>
                <w:rFonts w:ascii="Arial" w:hAnsi="Arial" w:cs="Arial"/>
                <w:sz w:val="24"/>
                <w:szCs w:val="24"/>
              </w:rPr>
            </w:pPr>
            <w:r w:rsidRPr="00F24320">
              <w:rPr>
                <w:rFonts w:ascii="Arial" w:hAnsi="Arial" w:cs="Arial"/>
                <w:sz w:val="24"/>
                <w:szCs w:val="24"/>
              </w:rPr>
              <w:t>1.500.000</w:t>
            </w:r>
          </w:p>
        </w:tc>
        <w:tc>
          <w:tcPr>
            <w:tcW w:w="2882" w:type="dxa"/>
          </w:tcPr>
          <w:p w14:paraId="305AFD54" w14:textId="77777777" w:rsidR="00F24320" w:rsidRPr="00F24320" w:rsidRDefault="00F24320" w:rsidP="00F24320">
            <w:pPr>
              <w:spacing w:line="360" w:lineRule="auto"/>
              <w:jc w:val="center"/>
              <w:rPr>
                <w:rFonts w:ascii="Arial" w:hAnsi="Arial" w:cs="Arial"/>
                <w:sz w:val="24"/>
                <w:szCs w:val="24"/>
              </w:rPr>
            </w:pPr>
            <w:r w:rsidRPr="00F24320">
              <w:rPr>
                <w:rFonts w:ascii="Arial" w:hAnsi="Arial" w:cs="Arial"/>
                <w:sz w:val="24"/>
                <w:szCs w:val="24"/>
              </w:rPr>
              <w:t>1254,1</w:t>
            </w:r>
          </w:p>
        </w:tc>
      </w:tr>
      <w:tr w:rsidR="00F24320" w:rsidRPr="00F24320" w14:paraId="139A639F" w14:textId="77777777" w:rsidTr="00F24320">
        <w:tc>
          <w:tcPr>
            <w:tcW w:w="3936" w:type="dxa"/>
          </w:tcPr>
          <w:p w14:paraId="1CFBDA3B" w14:textId="77777777" w:rsidR="00F24320" w:rsidRPr="00F24320" w:rsidRDefault="00F24320" w:rsidP="00F24320">
            <w:pPr>
              <w:spacing w:line="360" w:lineRule="auto"/>
              <w:jc w:val="both"/>
              <w:rPr>
                <w:rFonts w:ascii="Arial" w:hAnsi="Arial" w:cs="Arial"/>
                <w:b/>
                <w:sz w:val="24"/>
                <w:szCs w:val="24"/>
              </w:rPr>
            </w:pPr>
            <w:r w:rsidRPr="00F24320">
              <w:rPr>
                <w:rFonts w:ascii="Arial" w:hAnsi="Arial" w:cs="Arial"/>
                <w:b/>
                <w:sz w:val="24"/>
                <w:szCs w:val="24"/>
              </w:rPr>
              <w:t>Monto reliquidado</w:t>
            </w:r>
          </w:p>
        </w:tc>
        <w:tc>
          <w:tcPr>
            <w:tcW w:w="1826" w:type="dxa"/>
          </w:tcPr>
          <w:p w14:paraId="04EFC754" w14:textId="77777777" w:rsidR="00F24320" w:rsidRPr="00F24320" w:rsidRDefault="00F24320" w:rsidP="00F24320">
            <w:pPr>
              <w:spacing w:line="360" w:lineRule="auto"/>
              <w:jc w:val="center"/>
              <w:rPr>
                <w:rFonts w:ascii="Arial" w:hAnsi="Arial" w:cs="Arial"/>
                <w:sz w:val="24"/>
                <w:szCs w:val="24"/>
              </w:rPr>
            </w:pPr>
            <w:r w:rsidRPr="00F24320">
              <w:rPr>
                <w:rFonts w:ascii="Arial" w:hAnsi="Arial" w:cs="Arial"/>
                <w:sz w:val="24"/>
                <w:szCs w:val="24"/>
              </w:rPr>
              <w:t>500.000</w:t>
            </w:r>
          </w:p>
        </w:tc>
        <w:tc>
          <w:tcPr>
            <w:tcW w:w="2882" w:type="dxa"/>
          </w:tcPr>
          <w:p w14:paraId="7DBE9656" w14:textId="77777777" w:rsidR="00F24320" w:rsidRPr="00F24320" w:rsidRDefault="00F24320" w:rsidP="00F24320">
            <w:pPr>
              <w:spacing w:line="360" w:lineRule="auto"/>
              <w:jc w:val="center"/>
              <w:rPr>
                <w:rFonts w:ascii="Arial" w:hAnsi="Arial" w:cs="Arial"/>
                <w:sz w:val="24"/>
                <w:szCs w:val="24"/>
              </w:rPr>
            </w:pPr>
            <w:r w:rsidRPr="00F24320">
              <w:rPr>
                <w:rFonts w:ascii="Arial" w:hAnsi="Arial" w:cs="Arial"/>
                <w:sz w:val="24"/>
                <w:szCs w:val="24"/>
              </w:rPr>
              <w:t>418,0</w:t>
            </w:r>
          </w:p>
        </w:tc>
      </w:tr>
      <w:tr w:rsidR="00F24320" w:rsidRPr="00F24320" w14:paraId="160B2079" w14:textId="77777777" w:rsidTr="00F24320">
        <w:tc>
          <w:tcPr>
            <w:tcW w:w="3936" w:type="dxa"/>
          </w:tcPr>
          <w:p w14:paraId="24EC8056" w14:textId="77777777" w:rsidR="00F24320" w:rsidRPr="00F24320" w:rsidRDefault="00F24320" w:rsidP="00F24320">
            <w:pPr>
              <w:spacing w:line="360" w:lineRule="auto"/>
              <w:jc w:val="both"/>
              <w:rPr>
                <w:rFonts w:ascii="Arial" w:hAnsi="Arial" w:cs="Arial"/>
                <w:b/>
                <w:sz w:val="24"/>
                <w:szCs w:val="24"/>
              </w:rPr>
            </w:pPr>
            <w:r w:rsidRPr="00F24320">
              <w:rPr>
                <w:rFonts w:ascii="Arial" w:hAnsi="Arial" w:cs="Arial"/>
                <w:b/>
                <w:sz w:val="24"/>
                <w:szCs w:val="24"/>
              </w:rPr>
              <w:t>Monto desestimado</w:t>
            </w:r>
          </w:p>
        </w:tc>
        <w:tc>
          <w:tcPr>
            <w:tcW w:w="1826" w:type="dxa"/>
          </w:tcPr>
          <w:p w14:paraId="20043837" w14:textId="77777777" w:rsidR="00F24320" w:rsidRPr="00F24320" w:rsidRDefault="00F24320" w:rsidP="00F24320">
            <w:pPr>
              <w:spacing w:line="360" w:lineRule="auto"/>
              <w:jc w:val="center"/>
              <w:rPr>
                <w:rFonts w:ascii="Arial" w:hAnsi="Arial" w:cs="Arial"/>
                <w:sz w:val="24"/>
                <w:szCs w:val="24"/>
              </w:rPr>
            </w:pPr>
            <w:r w:rsidRPr="00F24320">
              <w:rPr>
                <w:rFonts w:ascii="Arial" w:hAnsi="Arial" w:cs="Arial"/>
                <w:sz w:val="24"/>
                <w:szCs w:val="24"/>
              </w:rPr>
              <w:t>1.000.000</w:t>
            </w:r>
          </w:p>
        </w:tc>
        <w:tc>
          <w:tcPr>
            <w:tcW w:w="2882" w:type="dxa"/>
          </w:tcPr>
          <w:p w14:paraId="5CED48B5" w14:textId="77777777" w:rsidR="00F24320" w:rsidRPr="00F24320" w:rsidRDefault="00F24320" w:rsidP="00F24320">
            <w:pPr>
              <w:spacing w:line="360" w:lineRule="auto"/>
              <w:jc w:val="center"/>
              <w:rPr>
                <w:rFonts w:ascii="Arial" w:hAnsi="Arial" w:cs="Arial"/>
                <w:b/>
                <w:sz w:val="24"/>
                <w:szCs w:val="24"/>
              </w:rPr>
            </w:pPr>
            <w:r w:rsidRPr="00F24320">
              <w:rPr>
                <w:rFonts w:ascii="Arial" w:hAnsi="Arial" w:cs="Arial"/>
                <w:b/>
                <w:sz w:val="24"/>
                <w:szCs w:val="24"/>
              </w:rPr>
              <w:t>836,1</w:t>
            </w:r>
          </w:p>
        </w:tc>
      </w:tr>
    </w:tbl>
    <w:p w14:paraId="43E977D5" w14:textId="77777777" w:rsidR="00F24320" w:rsidRPr="00F24320" w:rsidRDefault="00F24320" w:rsidP="00F24320">
      <w:pPr>
        <w:spacing w:after="0" w:line="360" w:lineRule="auto"/>
        <w:jc w:val="both"/>
        <w:rPr>
          <w:rFonts w:ascii="Arial" w:hAnsi="Arial" w:cs="Arial"/>
          <w:sz w:val="24"/>
          <w:szCs w:val="24"/>
        </w:rPr>
      </w:pPr>
    </w:p>
    <w:p w14:paraId="6EA6F0DB" w14:textId="2BA3FBDE" w:rsidR="00F24320" w:rsidRPr="00F24320" w:rsidRDefault="00704491" w:rsidP="00F24320">
      <w:pPr>
        <w:spacing w:after="0" w:line="360" w:lineRule="auto"/>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2336" behindDoc="1" locked="0" layoutInCell="1" allowOverlap="1" wp14:anchorId="4AEC7369" wp14:editId="3FBF5EC8">
                <wp:simplePos x="0" y="0"/>
                <wp:positionH relativeFrom="column">
                  <wp:posOffset>2120265</wp:posOffset>
                </wp:positionH>
                <wp:positionV relativeFrom="paragraph">
                  <wp:posOffset>215265</wp:posOffset>
                </wp:positionV>
                <wp:extent cx="792480" cy="327660"/>
                <wp:effectExtent l="17145" t="20320" r="19050"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27660"/>
                        </a:xfrm>
                        <a:prstGeom prst="rect">
                          <a:avLst/>
                        </a:prstGeom>
                        <a:solidFill>
                          <a:srgbClr val="FFFFFF"/>
                        </a:solidFill>
                        <a:ln w="22225">
                          <a:solidFill>
                            <a:srgbClr val="000000"/>
                          </a:solidFill>
                          <a:miter lim="800000"/>
                          <a:headEnd/>
                          <a:tailEnd/>
                        </a:ln>
                      </wps:spPr>
                      <wps:txbx>
                        <w:txbxContent>
                          <w:p w14:paraId="63E6E53A" w14:textId="77777777" w:rsidR="00F24320" w:rsidRDefault="00F24320">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C7369" id="_x0000_t202" coordsize="21600,21600" o:spt="202" path="m,l,21600r21600,l21600,xe">
                <v:stroke joinstyle="miter"/>
                <v:path gradientshapeok="t" o:connecttype="rect"/>
              </v:shapetype>
              <v:shape id="Text Box 3" o:spid="_x0000_s1026" type="#_x0000_t202" style="position:absolute;left:0;text-align:left;margin-left:166.95pt;margin-top:16.95pt;width:62.4pt;height:2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" strokeweight="1.75pt">
                <v:textbox>
                  <w:txbxContent>
                    <w:p w14:paraId="63E6E53A" w14:textId="77777777" w:rsidR="00F24320" w:rsidRDefault="00F24320">
                      <w:pPr>
                        <w:rPr>
                          <w:lang w:val="es-ES"/>
                        </w:rPr>
                      </w:pP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0288" behindDoc="1" locked="0" layoutInCell="1" allowOverlap="1" wp14:anchorId="6C145AA9" wp14:editId="5170E099">
                <wp:simplePos x="0" y="0"/>
                <wp:positionH relativeFrom="column">
                  <wp:posOffset>2120265</wp:posOffset>
                </wp:positionH>
                <wp:positionV relativeFrom="paragraph">
                  <wp:posOffset>266700</wp:posOffset>
                </wp:positionV>
                <wp:extent cx="657225" cy="276225"/>
                <wp:effectExtent l="17145" t="14605" r="1143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76225"/>
                        </a:xfrm>
                        <a:prstGeom prst="rect">
                          <a:avLst/>
                        </a:prstGeom>
                        <a:solidFill>
                          <a:srgbClr val="FFFFFF"/>
                        </a:solidFill>
                        <a:ln w="19050">
                          <a:solidFill>
                            <a:srgbClr val="000000"/>
                          </a:solidFill>
                          <a:miter lim="800000"/>
                          <a:headEnd/>
                          <a:tailEnd/>
                        </a:ln>
                      </wps:spPr>
                      <wps:txbx>
                        <w:txbxContent>
                          <w:p w14:paraId="68B1161B" w14:textId="77777777" w:rsidR="00F24320" w:rsidRDefault="00F24320" w:rsidP="00F24320">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145AA9" id="Text Box 2" o:spid="_x0000_s1027" type="#_x0000_t202" style="position:absolute;left:0;text-align:left;margin-left:166.95pt;margin-top:21pt;width:51.75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" strokeweight="1.5pt">
                <v:textbox>
                  <w:txbxContent>
                    <w:p w14:paraId="68B1161B" w14:textId="77777777" w:rsidR="00F24320" w:rsidRDefault="00F24320" w:rsidP="00F24320">
                      <w:pPr>
                        <w:rPr>
                          <w:lang w:val="es-ES"/>
                        </w:rPr>
                      </w:pPr>
                    </w:p>
                  </w:txbxContent>
                </v:textbox>
              </v:shape>
            </w:pict>
          </mc:Fallback>
        </mc:AlternateContent>
      </w:r>
      <w:r w:rsidR="00F24320" w:rsidRPr="00F24320">
        <w:rPr>
          <w:rFonts w:ascii="Arial" w:hAnsi="Arial" w:cs="Arial"/>
          <w:sz w:val="24"/>
          <w:szCs w:val="24"/>
        </w:rPr>
        <w:t xml:space="preserve">Valor UR: </w:t>
      </w:r>
      <w:r w:rsidR="00F24320" w:rsidRPr="00F24320">
        <w:rPr>
          <w:rFonts w:ascii="Arial" w:hAnsi="Arial" w:cs="Arial"/>
          <w:sz w:val="24"/>
          <w:szCs w:val="24"/>
        </w:rPr>
        <w:tab/>
      </w:r>
      <w:r w:rsidR="00F24320" w:rsidRPr="00F24320">
        <w:rPr>
          <w:rFonts w:ascii="Arial" w:hAnsi="Arial" w:cs="Arial"/>
          <w:sz w:val="24"/>
          <w:szCs w:val="24"/>
        </w:rPr>
        <w:tab/>
      </w:r>
      <w:r w:rsidR="00F24320" w:rsidRPr="00F24320">
        <w:rPr>
          <w:rFonts w:ascii="Arial" w:hAnsi="Arial" w:cs="Arial"/>
          <w:sz w:val="24"/>
          <w:szCs w:val="24"/>
        </w:rPr>
        <w:tab/>
      </w:r>
      <w:r w:rsidR="00F24320" w:rsidRPr="00F24320">
        <w:rPr>
          <w:rFonts w:ascii="Arial" w:hAnsi="Arial" w:cs="Arial"/>
          <w:sz w:val="24"/>
          <w:szCs w:val="24"/>
        </w:rPr>
        <w:tab/>
        <w:t>$ U 1196</w:t>
      </w:r>
    </w:p>
    <w:p w14:paraId="1572F088" w14:textId="77777777" w:rsidR="00F24320" w:rsidRPr="00F24320" w:rsidRDefault="00F24320" w:rsidP="00F24320">
      <w:pPr>
        <w:spacing w:after="0" w:line="360" w:lineRule="auto"/>
        <w:jc w:val="both"/>
        <w:rPr>
          <w:rFonts w:ascii="Arial" w:hAnsi="Arial" w:cs="Arial"/>
          <w:b/>
          <w:sz w:val="24"/>
          <w:szCs w:val="24"/>
        </w:rPr>
      </w:pPr>
      <w:r w:rsidRPr="00F24320">
        <w:rPr>
          <w:rFonts w:ascii="Arial" w:hAnsi="Arial" w:cs="Arial"/>
          <w:b/>
          <w:sz w:val="24"/>
          <w:szCs w:val="24"/>
        </w:rPr>
        <w:t>Monto del asunto:</w:t>
      </w:r>
      <w:r w:rsidRPr="00F24320">
        <w:rPr>
          <w:rFonts w:ascii="Arial" w:hAnsi="Arial" w:cs="Arial"/>
          <w:sz w:val="24"/>
          <w:szCs w:val="24"/>
        </w:rPr>
        <w:tab/>
      </w:r>
      <w:r w:rsidRPr="00F24320">
        <w:rPr>
          <w:rFonts w:ascii="Arial" w:hAnsi="Arial" w:cs="Arial"/>
          <w:sz w:val="24"/>
          <w:szCs w:val="24"/>
        </w:rPr>
        <w:tab/>
      </w:r>
      <w:r w:rsidRPr="00F24320">
        <w:rPr>
          <w:rFonts w:ascii="Arial" w:hAnsi="Arial" w:cs="Arial"/>
          <w:sz w:val="24"/>
          <w:szCs w:val="24"/>
        </w:rPr>
        <w:tab/>
      </w:r>
      <w:r>
        <w:rPr>
          <w:rFonts w:ascii="Arial" w:hAnsi="Arial" w:cs="Arial"/>
          <w:sz w:val="24"/>
          <w:szCs w:val="24"/>
        </w:rPr>
        <w:t xml:space="preserve">   </w:t>
      </w:r>
      <w:r w:rsidRPr="00F24320">
        <w:rPr>
          <w:rFonts w:ascii="Arial" w:hAnsi="Arial" w:cs="Arial"/>
          <w:b/>
          <w:sz w:val="24"/>
          <w:szCs w:val="24"/>
        </w:rPr>
        <w:t>$836,1</w:t>
      </w:r>
    </w:p>
    <w:p w14:paraId="75824554" w14:textId="77777777" w:rsidR="00F24320" w:rsidRDefault="00F24320" w:rsidP="00F24320">
      <w:pPr>
        <w:spacing w:after="0" w:line="360" w:lineRule="auto"/>
        <w:jc w:val="both"/>
        <w:rPr>
          <w:rFonts w:ascii="Arial" w:hAnsi="Arial" w:cs="Arial"/>
          <w:sz w:val="24"/>
          <w:szCs w:val="24"/>
        </w:rPr>
      </w:pPr>
    </w:p>
    <w:p w14:paraId="21AAA300" w14:textId="77777777" w:rsidR="00F24320" w:rsidRDefault="00F24320" w:rsidP="00F24320">
      <w:pPr>
        <w:spacing w:after="0" w:line="360" w:lineRule="auto"/>
        <w:jc w:val="both"/>
        <w:rPr>
          <w:rFonts w:ascii="Arial" w:hAnsi="Arial" w:cs="Arial"/>
          <w:sz w:val="24"/>
          <w:szCs w:val="24"/>
        </w:rPr>
      </w:pPr>
      <w:r>
        <w:rPr>
          <w:rFonts w:ascii="Arial" w:hAnsi="Arial" w:cs="Arial"/>
          <w:sz w:val="24"/>
          <w:szCs w:val="24"/>
        </w:rPr>
        <w:t>De acuerdo al Arancel del Colegio de Abogados, a los asuntos cuyo monto se encuentre entre 800 y 1600 UR, corresponde una tasa de 164 UR más 15% sobre el excedente de 800 UR; en consecuencia:</w:t>
      </w:r>
    </w:p>
    <w:p w14:paraId="2A3BF7AA" w14:textId="77777777" w:rsidR="00F24320" w:rsidRDefault="00F24320" w:rsidP="00F24320">
      <w:pPr>
        <w:spacing w:after="0"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5778"/>
        <w:gridCol w:w="1418"/>
      </w:tblGrid>
      <w:tr w:rsidR="00F24320" w:rsidRPr="00F24320" w14:paraId="378D43AC" w14:textId="77777777" w:rsidTr="00E413A8">
        <w:tc>
          <w:tcPr>
            <w:tcW w:w="5778" w:type="dxa"/>
            <w:tcBorders>
              <w:top w:val="single" w:sz="4" w:space="0" w:color="000000" w:themeColor="text1"/>
              <w:left w:val="single" w:sz="4" w:space="0" w:color="000000" w:themeColor="text1"/>
            </w:tcBorders>
          </w:tcPr>
          <w:p w14:paraId="5999053B" w14:textId="77777777" w:rsidR="00F24320" w:rsidRPr="00F24320" w:rsidRDefault="009D01B0" w:rsidP="009D01B0">
            <w:pPr>
              <w:spacing w:line="360" w:lineRule="auto"/>
              <w:rPr>
                <w:rFonts w:ascii="Arial" w:hAnsi="Arial" w:cs="Arial"/>
                <w:sz w:val="24"/>
                <w:szCs w:val="24"/>
              </w:rPr>
            </w:pPr>
            <w:r w:rsidRPr="00F24320">
              <w:rPr>
                <w:rFonts w:ascii="Arial" w:hAnsi="Arial" w:cs="Arial"/>
                <w:b/>
                <w:sz w:val="24"/>
                <w:szCs w:val="24"/>
              </w:rPr>
              <w:t xml:space="preserve">Monto </w:t>
            </w:r>
            <w:r>
              <w:rPr>
                <w:rFonts w:ascii="Arial" w:hAnsi="Arial" w:cs="Arial"/>
                <w:b/>
                <w:sz w:val="24"/>
                <w:szCs w:val="24"/>
              </w:rPr>
              <w:t>del asunto</w:t>
            </w:r>
          </w:p>
        </w:tc>
        <w:tc>
          <w:tcPr>
            <w:tcW w:w="1418" w:type="dxa"/>
          </w:tcPr>
          <w:p w14:paraId="5E6A856B" w14:textId="77777777" w:rsidR="00F24320" w:rsidRPr="00F24320" w:rsidRDefault="00F24320" w:rsidP="009D01B0">
            <w:pPr>
              <w:spacing w:line="360" w:lineRule="auto"/>
              <w:jc w:val="center"/>
              <w:rPr>
                <w:rFonts w:ascii="Arial" w:hAnsi="Arial" w:cs="Arial"/>
                <w:b/>
                <w:sz w:val="24"/>
                <w:szCs w:val="24"/>
              </w:rPr>
            </w:pPr>
            <w:r>
              <w:rPr>
                <w:rFonts w:ascii="Arial" w:hAnsi="Arial" w:cs="Arial"/>
                <w:b/>
                <w:sz w:val="24"/>
                <w:szCs w:val="24"/>
              </w:rPr>
              <w:t xml:space="preserve">Honorario </w:t>
            </w:r>
            <w:r w:rsidR="009D01B0">
              <w:rPr>
                <w:rFonts w:ascii="Arial" w:hAnsi="Arial" w:cs="Arial"/>
                <w:b/>
                <w:sz w:val="24"/>
                <w:szCs w:val="24"/>
              </w:rPr>
              <w:t xml:space="preserve"> </w:t>
            </w:r>
            <w:r>
              <w:rPr>
                <w:rFonts w:ascii="Arial" w:hAnsi="Arial" w:cs="Arial"/>
                <w:b/>
                <w:sz w:val="24"/>
                <w:szCs w:val="24"/>
              </w:rPr>
              <w:t>(en UR)</w:t>
            </w:r>
          </w:p>
        </w:tc>
      </w:tr>
      <w:tr w:rsidR="00F24320" w:rsidRPr="00F24320" w14:paraId="21D62959" w14:textId="77777777" w:rsidTr="00E413A8">
        <w:tc>
          <w:tcPr>
            <w:tcW w:w="5778" w:type="dxa"/>
          </w:tcPr>
          <w:p w14:paraId="4169E33E" w14:textId="77777777" w:rsidR="00F24320" w:rsidRPr="00F24320" w:rsidRDefault="009D01B0" w:rsidP="00F24320">
            <w:pPr>
              <w:spacing w:line="360" w:lineRule="auto"/>
              <w:jc w:val="both"/>
              <w:rPr>
                <w:rFonts w:ascii="Arial" w:hAnsi="Arial" w:cs="Arial"/>
                <w:b/>
                <w:sz w:val="24"/>
                <w:szCs w:val="24"/>
              </w:rPr>
            </w:pPr>
            <w:r>
              <w:rPr>
                <w:rFonts w:ascii="Arial" w:hAnsi="Arial" w:cs="Arial"/>
                <w:b/>
                <w:sz w:val="24"/>
                <w:szCs w:val="24"/>
              </w:rPr>
              <w:t>Hasta 800 UR</w:t>
            </w:r>
          </w:p>
        </w:tc>
        <w:tc>
          <w:tcPr>
            <w:tcW w:w="1418" w:type="dxa"/>
          </w:tcPr>
          <w:p w14:paraId="163F9F7D" w14:textId="77777777" w:rsidR="00F24320" w:rsidRPr="00F24320" w:rsidRDefault="009D01B0" w:rsidP="00146AAD">
            <w:pPr>
              <w:spacing w:line="360" w:lineRule="auto"/>
              <w:jc w:val="center"/>
              <w:rPr>
                <w:rFonts w:ascii="Arial" w:hAnsi="Arial" w:cs="Arial"/>
                <w:sz w:val="24"/>
                <w:szCs w:val="24"/>
              </w:rPr>
            </w:pPr>
            <w:r>
              <w:rPr>
                <w:rFonts w:ascii="Arial" w:hAnsi="Arial" w:cs="Arial"/>
                <w:sz w:val="24"/>
                <w:szCs w:val="24"/>
              </w:rPr>
              <w:t>164</w:t>
            </w:r>
          </w:p>
        </w:tc>
      </w:tr>
      <w:tr w:rsidR="00F24320" w:rsidRPr="00F24320" w14:paraId="2072D5EC" w14:textId="77777777" w:rsidTr="00146AAD">
        <w:tc>
          <w:tcPr>
            <w:tcW w:w="5778" w:type="dxa"/>
          </w:tcPr>
          <w:p w14:paraId="2FFCF1E2" w14:textId="77777777" w:rsidR="00F24320" w:rsidRPr="00F24320" w:rsidRDefault="009D01B0" w:rsidP="00267D9A">
            <w:pPr>
              <w:spacing w:line="360" w:lineRule="auto"/>
              <w:jc w:val="both"/>
              <w:rPr>
                <w:rFonts w:ascii="Arial" w:hAnsi="Arial" w:cs="Arial"/>
                <w:b/>
                <w:sz w:val="24"/>
                <w:szCs w:val="24"/>
              </w:rPr>
            </w:pPr>
            <w:r>
              <w:rPr>
                <w:rFonts w:ascii="Arial" w:hAnsi="Arial" w:cs="Arial"/>
                <w:b/>
                <w:sz w:val="24"/>
                <w:szCs w:val="24"/>
              </w:rPr>
              <w:t>De 800 a 836,1 (36,1 UR)</w:t>
            </w:r>
            <w:r w:rsidR="00146AAD">
              <w:rPr>
                <w:rFonts w:ascii="Arial" w:hAnsi="Arial" w:cs="Arial"/>
                <w:b/>
                <w:sz w:val="24"/>
                <w:szCs w:val="24"/>
              </w:rPr>
              <w:t xml:space="preserve"> *</w:t>
            </w:r>
          </w:p>
        </w:tc>
        <w:tc>
          <w:tcPr>
            <w:tcW w:w="1418" w:type="dxa"/>
            <w:tcBorders>
              <w:bottom w:val="single" w:sz="12" w:space="0" w:color="000000" w:themeColor="text1"/>
            </w:tcBorders>
          </w:tcPr>
          <w:p w14:paraId="15D82792" w14:textId="77777777" w:rsidR="00F24320" w:rsidRPr="00F24320" w:rsidRDefault="00146AAD" w:rsidP="00146AAD">
            <w:pPr>
              <w:spacing w:line="360" w:lineRule="auto"/>
              <w:jc w:val="center"/>
              <w:rPr>
                <w:rFonts w:ascii="Arial" w:hAnsi="Arial" w:cs="Arial"/>
                <w:sz w:val="24"/>
                <w:szCs w:val="24"/>
              </w:rPr>
            </w:pPr>
            <w:r>
              <w:rPr>
                <w:rFonts w:ascii="Arial" w:hAnsi="Arial" w:cs="Arial"/>
                <w:sz w:val="24"/>
                <w:szCs w:val="24"/>
              </w:rPr>
              <w:t>54,15 **</w:t>
            </w:r>
          </w:p>
        </w:tc>
      </w:tr>
      <w:tr w:rsidR="00E413A8" w:rsidRPr="00146AAD" w14:paraId="01F7C5CF" w14:textId="77777777" w:rsidTr="00146AAD">
        <w:tc>
          <w:tcPr>
            <w:tcW w:w="5778" w:type="dxa"/>
            <w:tcBorders>
              <w:right w:val="single" w:sz="12" w:space="0" w:color="000000" w:themeColor="text1"/>
            </w:tcBorders>
          </w:tcPr>
          <w:p w14:paraId="708575F4" w14:textId="77777777" w:rsidR="00E413A8" w:rsidRPr="00F24320" w:rsidRDefault="00146AAD" w:rsidP="00267D9A">
            <w:pPr>
              <w:spacing w:line="360" w:lineRule="auto"/>
              <w:jc w:val="both"/>
              <w:rPr>
                <w:rFonts w:ascii="Arial" w:hAnsi="Arial" w:cs="Arial"/>
                <w:b/>
                <w:sz w:val="24"/>
                <w:szCs w:val="24"/>
              </w:rPr>
            </w:pPr>
            <w:r>
              <w:rPr>
                <w:rFonts w:ascii="Arial" w:hAnsi="Arial" w:cs="Arial"/>
                <w:b/>
                <w:sz w:val="24"/>
                <w:szCs w:val="24"/>
              </w:rPr>
              <w:t>Subt</w:t>
            </w:r>
            <w:r w:rsidR="00E413A8">
              <w:rPr>
                <w:rFonts w:ascii="Arial" w:hAnsi="Arial" w:cs="Arial"/>
                <w:b/>
                <w:sz w:val="24"/>
                <w:szCs w:val="24"/>
              </w:rPr>
              <w:t>otal debido por la Intendencia de Montevideo</w:t>
            </w:r>
          </w:p>
        </w:tc>
        <w:tc>
          <w:tcPr>
            <w:tcW w:w="14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B0B0CD3" w14:textId="77777777" w:rsidR="00E413A8" w:rsidRPr="00146AAD" w:rsidRDefault="00146AAD" w:rsidP="00146AAD">
            <w:pPr>
              <w:spacing w:line="360" w:lineRule="auto"/>
              <w:jc w:val="center"/>
              <w:rPr>
                <w:rFonts w:ascii="Arial" w:hAnsi="Arial" w:cs="Arial"/>
                <w:b/>
                <w:sz w:val="24"/>
                <w:szCs w:val="24"/>
              </w:rPr>
            </w:pPr>
            <w:r w:rsidRPr="00146AAD">
              <w:rPr>
                <w:rFonts w:ascii="Arial" w:hAnsi="Arial" w:cs="Arial"/>
                <w:b/>
                <w:sz w:val="24"/>
                <w:szCs w:val="24"/>
              </w:rPr>
              <w:t>218,15</w:t>
            </w:r>
          </w:p>
        </w:tc>
      </w:tr>
    </w:tbl>
    <w:p w14:paraId="196C50CC" w14:textId="77777777" w:rsidR="00F24320" w:rsidRPr="00F24320" w:rsidRDefault="00F24320" w:rsidP="00F24320">
      <w:pPr>
        <w:spacing w:after="0" w:line="360" w:lineRule="auto"/>
        <w:jc w:val="both"/>
        <w:rPr>
          <w:rFonts w:ascii="Arial" w:hAnsi="Arial" w:cs="Arial"/>
          <w:sz w:val="24"/>
          <w:szCs w:val="24"/>
        </w:rPr>
      </w:pPr>
    </w:p>
    <w:p w14:paraId="6B64573C" w14:textId="77777777" w:rsidR="00F24320" w:rsidRDefault="00146AAD" w:rsidP="003D7B35">
      <w:pPr>
        <w:spacing w:after="0" w:line="360" w:lineRule="auto"/>
        <w:jc w:val="both"/>
        <w:rPr>
          <w:rFonts w:ascii="Arial" w:hAnsi="Arial" w:cs="Arial"/>
          <w:sz w:val="24"/>
          <w:szCs w:val="24"/>
        </w:rPr>
      </w:pPr>
      <w:r>
        <w:rPr>
          <w:rFonts w:ascii="Arial" w:hAnsi="Arial" w:cs="Arial"/>
          <w:sz w:val="24"/>
          <w:szCs w:val="24"/>
        </w:rPr>
        <w:t xml:space="preserve">* </w:t>
      </w:r>
      <w:r w:rsidR="00E413A8">
        <w:rPr>
          <w:rFonts w:ascii="Arial" w:hAnsi="Arial" w:cs="Arial"/>
          <w:sz w:val="24"/>
          <w:szCs w:val="24"/>
        </w:rPr>
        <w:t>Las 36, 1 UR son el resultado de restar 800 UR al monto del asunto, a los efectos de obtener el excedente referido por el excedente del Colegio de Abogados.</w:t>
      </w:r>
    </w:p>
    <w:p w14:paraId="03738153" w14:textId="77777777" w:rsidR="003D7B35" w:rsidRDefault="00146AAD" w:rsidP="003D7B35">
      <w:pPr>
        <w:spacing w:after="0" w:line="360" w:lineRule="auto"/>
        <w:jc w:val="both"/>
        <w:rPr>
          <w:rFonts w:ascii="Arial" w:hAnsi="Arial" w:cs="Arial"/>
          <w:sz w:val="24"/>
          <w:szCs w:val="24"/>
        </w:rPr>
      </w:pPr>
      <w:r>
        <w:rPr>
          <w:rFonts w:ascii="Arial" w:hAnsi="Arial" w:cs="Arial"/>
          <w:sz w:val="24"/>
          <w:szCs w:val="24"/>
        </w:rPr>
        <w:t>** Las 54,15 representan el 15% del excedente antes mencionado (15% de 36,1UR).</w:t>
      </w:r>
    </w:p>
    <w:p w14:paraId="01350F9E" w14:textId="77777777" w:rsidR="00146AAD" w:rsidRDefault="00146AAD" w:rsidP="0024020A">
      <w:pPr>
        <w:spacing w:after="0" w:line="360" w:lineRule="auto"/>
        <w:jc w:val="both"/>
        <w:rPr>
          <w:rFonts w:ascii="Arial" w:hAnsi="Arial" w:cs="Arial"/>
          <w:sz w:val="24"/>
          <w:szCs w:val="24"/>
        </w:rPr>
      </w:pPr>
      <w:r>
        <w:rPr>
          <w:rFonts w:ascii="Arial" w:hAnsi="Arial" w:cs="Arial"/>
          <w:b/>
          <w:sz w:val="24"/>
          <w:szCs w:val="24"/>
        </w:rPr>
        <w:lastRenderedPageBreak/>
        <w:t xml:space="preserve">Imposición del IVA: </w:t>
      </w:r>
      <w:r>
        <w:rPr>
          <w:rFonts w:ascii="Arial" w:hAnsi="Arial" w:cs="Arial"/>
          <w:sz w:val="24"/>
          <w:szCs w:val="24"/>
        </w:rPr>
        <w:t>Conforme a doctrina y jurisprudencia dominante al tratarse de un impuesto indirecto que grava el consumo, corresponde su imposición.</w:t>
      </w:r>
    </w:p>
    <w:p w14:paraId="6BA4D84B" w14:textId="77777777" w:rsidR="00146AAD" w:rsidRDefault="00146AAD" w:rsidP="0024020A">
      <w:pPr>
        <w:spacing w:after="0" w:line="360" w:lineRule="auto"/>
        <w:jc w:val="both"/>
        <w:rPr>
          <w:rFonts w:ascii="Arial" w:hAnsi="Arial" w:cs="Arial"/>
          <w:b/>
          <w:sz w:val="24"/>
          <w:szCs w:val="24"/>
        </w:rPr>
      </w:pPr>
      <w:r>
        <w:rPr>
          <w:rFonts w:ascii="Arial" w:hAnsi="Arial" w:cs="Arial"/>
          <w:b/>
          <w:sz w:val="24"/>
          <w:szCs w:val="24"/>
        </w:rPr>
        <w:t xml:space="preserve">TOTAL ADEUDADO POR LA INTENDENCIA DE MONTEVIDEO: </w:t>
      </w:r>
      <w:r w:rsidR="0024020A">
        <w:rPr>
          <w:rFonts w:ascii="Arial" w:hAnsi="Arial" w:cs="Arial"/>
          <w:b/>
          <w:sz w:val="24"/>
          <w:szCs w:val="24"/>
        </w:rPr>
        <w:t>266 UR (unidades reajustables doscientas sesenta y seis).</w:t>
      </w:r>
    </w:p>
    <w:p w14:paraId="2E0AA26B" w14:textId="77777777" w:rsidR="0024020A" w:rsidRPr="0024020A" w:rsidRDefault="0024020A" w:rsidP="0024020A">
      <w:pPr>
        <w:spacing w:after="120" w:line="360" w:lineRule="auto"/>
        <w:jc w:val="center"/>
        <w:rPr>
          <w:rFonts w:ascii="Arial" w:hAnsi="Arial" w:cs="Arial"/>
          <w:b/>
          <w:sz w:val="24"/>
          <w:szCs w:val="24"/>
          <w:u w:val="single"/>
        </w:rPr>
      </w:pPr>
      <w:r w:rsidRPr="0024020A">
        <w:rPr>
          <w:rFonts w:ascii="Arial" w:hAnsi="Arial" w:cs="Arial"/>
          <w:b/>
          <w:sz w:val="24"/>
          <w:szCs w:val="24"/>
          <w:u w:val="single"/>
        </w:rPr>
        <w:t>II-PRUEBA:</w:t>
      </w:r>
    </w:p>
    <w:p w14:paraId="6905BAE9" w14:textId="77777777" w:rsidR="00146AAD" w:rsidRDefault="0024020A" w:rsidP="0024020A">
      <w:pPr>
        <w:spacing w:after="120" w:line="360" w:lineRule="auto"/>
        <w:ind w:firstLine="708"/>
        <w:rPr>
          <w:rFonts w:ascii="Arial" w:hAnsi="Arial" w:cs="Arial"/>
          <w:sz w:val="24"/>
          <w:szCs w:val="24"/>
        </w:rPr>
      </w:pPr>
      <w:r>
        <w:rPr>
          <w:rFonts w:ascii="Arial" w:hAnsi="Arial" w:cs="Arial"/>
          <w:sz w:val="24"/>
          <w:szCs w:val="24"/>
        </w:rPr>
        <w:t>A los efectos de acreditar los extremos invocados solicito el diligenciamiento de los siguientes medios probatorios:</w:t>
      </w:r>
    </w:p>
    <w:p w14:paraId="1BE066E5" w14:textId="77777777" w:rsidR="0024020A" w:rsidRDefault="0024020A" w:rsidP="0024020A">
      <w:pPr>
        <w:spacing w:after="120" w:line="360" w:lineRule="auto"/>
        <w:rPr>
          <w:rFonts w:ascii="Arial" w:hAnsi="Arial" w:cs="Arial"/>
          <w:b/>
          <w:sz w:val="24"/>
          <w:szCs w:val="24"/>
          <w:u w:val="single"/>
        </w:rPr>
      </w:pPr>
      <w:r>
        <w:rPr>
          <w:rFonts w:ascii="Arial" w:hAnsi="Arial" w:cs="Arial"/>
          <w:b/>
          <w:sz w:val="24"/>
          <w:szCs w:val="24"/>
          <w:u w:val="single"/>
        </w:rPr>
        <w:t xml:space="preserve">Prueba trasladada: </w:t>
      </w:r>
    </w:p>
    <w:p w14:paraId="0AD82866" w14:textId="77777777" w:rsidR="0024020A" w:rsidRPr="0024020A" w:rsidRDefault="0024020A" w:rsidP="0024020A">
      <w:pPr>
        <w:spacing w:after="120" w:line="360" w:lineRule="auto"/>
        <w:rPr>
          <w:rFonts w:ascii="Arial" w:hAnsi="Arial" w:cs="Arial"/>
          <w:b/>
          <w:sz w:val="24"/>
          <w:szCs w:val="24"/>
        </w:rPr>
      </w:pPr>
      <w:r>
        <w:rPr>
          <w:rFonts w:ascii="Arial" w:hAnsi="Arial" w:cs="Arial"/>
          <w:sz w:val="24"/>
          <w:szCs w:val="24"/>
        </w:rPr>
        <w:tab/>
        <w:t xml:space="preserve">Se acordone a estos obrados los autos caratulados </w:t>
      </w:r>
      <w:r>
        <w:rPr>
          <w:rFonts w:ascii="Arial" w:hAnsi="Arial" w:cs="Arial"/>
          <w:b/>
          <w:sz w:val="24"/>
          <w:szCs w:val="24"/>
        </w:rPr>
        <w:t>“INTENDENCIA DE MONTEVIDEO, c/ MOLINOS S.A – JUICIO EJECUTIVO “, IUE: 2-59562/2013.</w:t>
      </w:r>
    </w:p>
    <w:p w14:paraId="2192964A" w14:textId="77777777" w:rsidR="00146AAD" w:rsidRDefault="00146AAD" w:rsidP="0024020A">
      <w:pPr>
        <w:spacing w:after="120" w:line="360" w:lineRule="auto"/>
        <w:jc w:val="center"/>
        <w:rPr>
          <w:rFonts w:ascii="Arial" w:hAnsi="Arial" w:cs="Arial"/>
          <w:b/>
          <w:sz w:val="24"/>
          <w:szCs w:val="24"/>
          <w:u w:val="single"/>
        </w:rPr>
      </w:pPr>
      <w:r w:rsidRPr="00146AAD">
        <w:rPr>
          <w:rFonts w:ascii="Arial" w:hAnsi="Arial" w:cs="Arial"/>
          <w:b/>
          <w:sz w:val="24"/>
          <w:szCs w:val="24"/>
          <w:u w:val="single"/>
        </w:rPr>
        <w:t>II</w:t>
      </w:r>
      <w:r w:rsidR="0024020A">
        <w:rPr>
          <w:rFonts w:ascii="Arial" w:hAnsi="Arial" w:cs="Arial"/>
          <w:b/>
          <w:sz w:val="24"/>
          <w:szCs w:val="24"/>
          <w:u w:val="single"/>
        </w:rPr>
        <w:t>I</w:t>
      </w:r>
      <w:r w:rsidRPr="00146AAD">
        <w:rPr>
          <w:rFonts w:ascii="Arial" w:hAnsi="Arial" w:cs="Arial"/>
          <w:b/>
          <w:sz w:val="24"/>
          <w:szCs w:val="24"/>
          <w:u w:val="single"/>
        </w:rPr>
        <w:t>-DERECHO:</w:t>
      </w:r>
    </w:p>
    <w:p w14:paraId="0F9C686E" w14:textId="77777777" w:rsidR="00146AAD" w:rsidRDefault="00146AAD" w:rsidP="0024020A">
      <w:pPr>
        <w:spacing w:after="120" w:line="360" w:lineRule="auto"/>
        <w:jc w:val="both"/>
        <w:rPr>
          <w:rFonts w:ascii="Arial" w:hAnsi="Arial" w:cs="Arial"/>
          <w:sz w:val="24"/>
          <w:szCs w:val="24"/>
        </w:rPr>
      </w:pPr>
      <w:r>
        <w:rPr>
          <w:rFonts w:ascii="Arial" w:hAnsi="Arial" w:cs="Arial"/>
          <w:sz w:val="24"/>
          <w:szCs w:val="24"/>
        </w:rPr>
        <w:t>Fundo mi derecho en lo dispuesto por los artículos 144 de la ley 15.750 y en los artículos 68</w:t>
      </w:r>
      <w:r w:rsidR="0024020A">
        <w:rPr>
          <w:rFonts w:ascii="Arial" w:hAnsi="Arial" w:cs="Arial"/>
          <w:sz w:val="24"/>
          <w:szCs w:val="24"/>
        </w:rPr>
        <w:t>8, 1216 y 1220 del Código Civil, en la ley 14.500 y en el artículo 117 del Código General del Proceso.</w:t>
      </w:r>
    </w:p>
    <w:p w14:paraId="7E5F0BBD" w14:textId="77777777" w:rsidR="0024020A" w:rsidRDefault="0024020A" w:rsidP="0024020A">
      <w:pPr>
        <w:spacing w:after="120" w:line="360" w:lineRule="auto"/>
        <w:jc w:val="center"/>
        <w:rPr>
          <w:rFonts w:ascii="Arial" w:hAnsi="Arial" w:cs="Arial"/>
          <w:b/>
          <w:sz w:val="24"/>
          <w:szCs w:val="24"/>
          <w:u w:val="single"/>
        </w:rPr>
      </w:pPr>
      <w:r>
        <w:rPr>
          <w:rFonts w:ascii="Arial" w:hAnsi="Arial" w:cs="Arial"/>
          <w:b/>
          <w:sz w:val="24"/>
          <w:szCs w:val="24"/>
          <w:u w:val="single"/>
        </w:rPr>
        <w:t>IV-PETITORIO:</w:t>
      </w:r>
    </w:p>
    <w:p w14:paraId="1F525250" w14:textId="77777777" w:rsidR="0024020A" w:rsidRDefault="001615D1" w:rsidP="0024020A">
      <w:pPr>
        <w:spacing w:after="120" w:line="360" w:lineRule="auto"/>
        <w:rPr>
          <w:rFonts w:ascii="Arial" w:hAnsi="Arial" w:cs="Arial"/>
          <w:b/>
          <w:sz w:val="24"/>
          <w:szCs w:val="24"/>
          <w:u w:val="single"/>
        </w:rPr>
      </w:pPr>
      <w:r>
        <w:rPr>
          <w:rFonts w:ascii="Arial" w:hAnsi="Arial" w:cs="Arial"/>
          <w:sz w:val="24"/>
          <w:szCs w:val="24"/>
        </w:rPr>
        <w:t xml:space="preserve">Por lo expuesto al Sr. Juez </w:t>
      </w:r>
      <w:r>
        <w:rPr>
          <w:rFonts w:ascii="Arial" w:hAnsi="Arial" w:cs="Arial"/>
          <w:b/>
          <w:sz w:val="24"/>
          <w:szCs w:val="24"/>
          <w:u w:val="single"/>
        </w:rPr>
        <w:t>PIDO:</w:t>
      </w:r>
    </w:p>
    <w:p w14:paraId="342C9C42" w14:textId="77777777" w:rsidR="001615D1" w:rsidRDefault="001615D1" w:rsidP="001615D1">
      <w:pPr>
        <w:pStyle w:val="ListParagraph"/>
        <w:numPr>
          <w:ilvl w:val="0"/>
          <w:numId w:val="8"/>
        </w:numPr>
        <w:spacing w:after="120" w:line="360" w:lineRule="auto"/>
        <w:rPr>
          <w:rFonts w:ascii="Arial" w:hAnsi="Arial" w:cs="Arial"/>
          <w:sz w:val="24"/>
          <w:szCs w:val="24"/>
        </w:rPr>
      </w:pPr>
      <w:r>
        <w:rPr>
          <w:rFonts w:ascii="Arial" w:hAnsi="Arial" w:cs="Arial"/>
          <w:sz w:val="24"/>
          <w:szCs w:val="24"/>
        </w:rPr>
        <w:t xml:space="preserve">Me tenga </w:t>
      </w:r>
      <w:r w:rsidR="001525FE">
        <w:rPr>
          <w:rFonts w:ascii="Arial" w:hAnsi="Arial" w:cs="Arial"/>
          <w:sz w:val="24"/>
          <w:szCs w:val="24"/>
        </w:rPr>
        <w:t xml:space="preserve">por presentado, por denunciado </w:t>
      </w:r>
      <w:r>
        <w:rPr>
          <w:rFonts w:ascii="Arial" w:hAnsi="Arial" w:cs="Arial"/>
          <w:sz w:val="24"/>
          <w:szCs w:val="24"/>
        </w:rPr>
        <w:t>el domicilio</w:t>
      </w:r>
      <w:r w:rsidR="001525FE">
        <w:rPr>
          <w:rFonts w:ascii="Arial" w:hAnsi="Arial" w:cs="Arial"/>
          <w:sz w:val="24"/>
          <w:szCs w:val="24"/>
        </w:rPr>
        <w:t>, por constituido el domicilio procesal y electrónico</w:t>
      </w:r>
      <w:r>
        <w:rPr>
          <w:rFonts w:ascii="Arial" w:hAnsi="Arial" w:cs="Arial"/>
          <w:sz w:val="24"/>
          <w:szCs w:val="24"/>
        </w:rPr>
        <w:t xml:space="preserve"> y por iniciado el presente proceso de regulación de honorarios.</w:t>
      </w:r>
    </w:p>
    <w:p w14:paraId="2E73579C" w14:textId="77777777" w:rsidR="001615D1" w:rsidRDefault="001615D1" w:rsidP="001615D1">
      <w:pPr>
        <w:pStyle w:val="ListParagraph"/>
        <w:numPr>
          <w:ilvl w:val="0"/>
          <w:numId w:val="8"/>
        </w:numPr>
        <w:spacing w:after="120" w:line="360" w:lineRule="auto"/>
        <w:rPr>
          <w:rFonts w:ascii="Arial" w:hAnsi="Arial" w:cs="Arial"/>
          <w:sz w:val="24"/>
          <w:szCs w:val="24"/>
        </w:rPr>
      </w:pPr>
      <w:r>
        <w:rPr>
          <w:rFonts w:ascii="Arial" w:hAnsi="Arial" w:cs="Arial"/>
          <w:sz w:val="24"/>
          <w:szCs w:val="24"/>
        </w:rPr>
        <w:t>Cite a la Intendencia de Montevideo, en su domicilio real de la calle… y a MOLINOS S.A en el domicilio de… en el plazo de 10 días hábiles.</w:t>
      </w:r>
    </w:p>
    <w:p w14:paraId="19F4C807" w14:textId="77777777" w:rsidR="001615D1" w:rsidRDefault="001525FE" w:rsidP="001615D1">
      <w:pPr>
        <w:pStyle w:val="ListParagraph"/>
        <w:numPr>
          <w:ilvl w:val="0"/>
          <w:numId w:val="8"/>
        </w:numPr>
        <w:spacing w:after="120" w:line="360" w:lineRule="auto"/>
        <w:rPr>
          <w:rFonts w:ascii="Arial" w:hAnsi="Arial" w:cs="Arial"/>
          <w:sz w:val="24"/>
          <w:szCs w:val="24"/>
        </w:rPr>
      </w:pPr>
      <w:r>
        <w:rPr>
          <w:rFonts w:ascii="Arial" w:hAnsi="Arial" w:cs="Arial"/>
          <w:sz w:val="24"/>
          <w:szCs w:val="24"/>
        </w:rPr>
        <w:t>En definitiva, previo a los trámites de estilo, se regulen los honorarios en la forma solicitada, condenando</w:t>
      </w:r>
      <w:r w:rsidR="001615D1">
        <w:rPr>
          <w:rFonts w:ascii="Arial" w:hAnsi="Arial" w:cs="Arial"/>
          <w:sz w:val="24"/>
          <w:szCs w:val="24"/>
        </w:rPr>
        <w:t xml:space="preserve"> a la Intendencia de Montevideo al pago de 266,11 más intereses en concepto de los honorarios correspondientes al asesoramiento letrado del demandado en juicio principal, a lo cual fue condenada por sentencia ejecutoriada.</w:t>
      </w:r>
    </w:p>
    <w:p w14:paraId="5EAA6B8A" w14:textId="77777777" w:rsidR="00B268EB" w:rsidRPr="00F8525B" w:rsidRDefault="009A5668" w:rsidP="008C3456">
      <w:pPr>
        <w:spacing w:line="360" w:lineRule="auto"/>
        <w:jc w:val="both"/>
        <w:rPr>
          <w:rFonts w:ascii="Arial" w:hAnsi="Arial" w:cs="Arial"/>
          <w:sz w:val="24"/>
          <w:szCs w:val="24"/>
        </w:rPr>
      </w:pPr>
      <w:r w:rsidRPr="001525FE">
        <w:rPr>
          <w:rFonts w:ascii="Arial" w:hAnsi="Arial" w:cs="Arial"/>
          <w:b/>
          <w:sz w:val="24"/>
          <w:szCs w:val="24"/>
        </w:rPr>
        <w:t>PRIMER OTROSÍ DICE:</w:t>
      </w:r>
      <w:r w:rsidRPr="00D90E84">
        <w:rPr>
          <w:rFonts w:ascii="Arial" w:hAnsi="Arial" w:cs="Arial"/>
          <w:sz w:val="24"/>
          <w:szCs w:val="24"/>
        </w:rPr>
        <w:t xml:space="preserve"> </w:t>
      </w:r>
      <w:r w:rsidR="001525FE">
        <w:rPr>
          <w:rFonts w:ascii="Arial" w:hAnsi="Arial" w:cs="Arial"/>
          <w:sz w:val="24"/>
          <w:szCs w:val="24"/>
        </w:rPr>
        <w:t>Autoriza indistintamente en los términos de los artículos, 85, 90, 105, 106 y 107 del Código General del Proceso a los Dres. ….así como a los Procuradores…</w:t>
      </w:r>
    </w:p>
    <w:sectPr w:rsidR="00B268EB" w:rsidRPr="00F8525B" w:rsidSect="004E6417">
      <w:pgSz w:w="11906" w:h="16838"/>
      <w:pgMar w:top="2835" w:right="851" w:bottom="85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F0DB2"/>
    <w:multiLevelType w:val="hybridMultilevel"/>
    <w:tmpl w:val="3D1EF338"/>
    <w:lvl w:ilvl="0" w:tplc="0D9204BE">
      <w:start w:val="1"/>
      <w:numFmt w:val="bullet"/>
      <w:lvlText w:val="-"/>
      <w:lvlJc w:val="left"/>
      <w:pPr>
        <w:ind w:left="1776" w:hanging="360"/>
      </w:pPr>
      <w:rPr>
        <w:rFonts w:ascii="Arial" w:eastAsiaTheme="minorHAnsi" w:hAnsi="Arial" w:cs="Arial" w:hint="default"/>
        <w:b/>
      </w:rPr>
    </w:lvl>
    <w:lvl w:ilvl="1" w:tplc="380A0003" w:tentative="1">
      <w:start w:val="1"/>
      <w:numFmt w:val="bullet"/>
      <w:lvlText w:val="o"/>
      <w:lvlJc w:val="left"/>
      <w:pPr>
        <w:ind w:left="2496" w:hanging="360"/>
      </w:pPr>
      <w:rPr>
        <w:rFonts w:ascii="Courier New" w:hAnsi="Courier New" w:cs="Courier New" w:hint="default"/>
      </w:rPr>
    </w:lvl>
    <w:lvl w:ilvl="2" w:tplc="380A0005" w:tentative="1">
      <w:start w:val="1"/>
      <w:numFmt w:val="bullet"/>
      <w:lvlText w:val=""/>
      <w:lvlJc w:val="left"/>
      <w:pPr>
        <w:ind w:left="3216" w:hanging="360"/>
      </w:pPr>
      <w:rPr>
        <w:rFonts w:ascii="Wingdings" w:hAnsi="Wingdings" w:hint="default"/>
      </w:rPr>
    </w:lvl>
    <w:lvl w:ilvl="3" w:tplc="380A0001" w:tentative="1">
      <w:start w:val="1"/>
      <w:numFmt w:val="bullet"/>
      <w:lvlText w:val=""/>
      <w:lvlJc w:val="left"/>
      <w:pPr>
        <w:ind w:left="3936" w:hanging="360"/>
      </w:pPr>
      <w:rPr>
        <w:rFonts w:ascii="Symbol" w:hAnsi="Symbol" w:hint="default"/>
      </w:rPr>
    </w:lvl>
    <w:lvl w:ilvl="4" w:tplc="380A0003" w:tentative="1">
      <w:start w:val="1"/>
      <w:numFmt w:val="bullet"/>
      <w:lvlText w:val="o"/>
      <w:lvlJc w:val="left"/>
      <w:pPr>
        <w:ind w:left="4656" w:hanging="360"/>
      </w:pPr>
      <w:rPr>
        <w:rFonts w:ascii="Courier New" w:hAnsi="Courier New" w:cs="Courier New" w:hint="default"/>
      </w:rPr>
    </w:lvl>
    <w:lvl w:ilvl="5" w:tplc="380A0005" w:tentative="1">
      <w:start w:val="1"/>
      <w:numFmt w:val="bullet"/>
      <w:lvlText w:val=""/>
      <w:lvlJc w:val="left"/>
      <w:pPr>
        <w:ind w:left="5376" w:hanging="360"/>
      </w:pPr>
      <w:rPr>
        <w:rFonts w:ascii="Wingdings" w:hAnsi="Wingdings" w:hint="default"/>
      </w:rPr>
    </w:lvl>
    <w:lvl w:ilvl="6" w:tplc="380A0001" w:tentative="1">
      <w:start w:val="1"/>
      <w:numFmt w:val="bullet"/>
      <w:lvlText w:val=""/>
      <w:lvlJc w:val="left"/>
      <w:pPr>
        <w:ind w:left="6096" w:hanging="360"/>
      </w:pPr>
      <w:rPr>
        <w:rFonts w:ascii="Symbol" w:hAnsi="Symbol" w:hint="default"/>
      </w:rPr>
    </w:lvl>
    <w:lvl w:ilvl="7" w:tplc="380A0003" w:tentative="1">
      <w:start w:val="1"/>
      <w:numFmt w:val="bullet"/>
      <w:lvlText w:val="o"/>
      <w:lvlJc w:val="left"/>
      <w:pPr>
        <w:ind w:left="6816" w:hanging="360"/>
      </w:pPr>
      <w:rPr>
        <w:rFonts w:ascii="Courier New" w:hAnsi="Courier New" w:cs="Courier New" w:hint="default"/>
      </w:rPr>
    </w:lvl>
    <w:lvl w:ilvl="8" w:tplc="380A0005" w:tentative="1">
      <w:start w:val="1"/>
      <w:numFmt w:val="bullet"/>
      <w:lvlText w:val=""/>
      <w:lvlJc w:val="left"/>
      <w:pPr>
        <w:ind w:left="7536" w:hanging="360"/>
      </w:pPr>
      <w:rPr>
        <w:rFonts w:ascii="Wingdings" w:hAnsi="Wingdings" w:hint="default"/>
      </w:rPr>
    </w:lvl>
  </w:abstractNum>
  <w:abstractNum w:abstractNumId="1" w15:restartNumberingAfterBreak="0">
    <w:nsid w:val="284C282D"/>
    <w:multiLevelType w:val="hybridMultilevel"/>
    <w:tmpl w:val="184ECB6A"/>
    <w:lvl w:ilvl="0" w:tplc="17022B0C">
      <w:start w:val="1"/>
      <w:numFmt w:val="upperLetter"/>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2093ECC"/>
    <w:multiLevelType w:val="hybridMultilevel"/>
    <w:tmpl w:val="66E6FA98"/>
    <w:lvl w:ilvl="0" w:tplc="89FACB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464938"/>
    <w:multiLevelType w:val="hybridMultilevel"/>
    <w:tmpl w:val="A1640246"/>
    <w:lvl w:ilvl="0" w:tplc="5ED23640">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E2069B"/>
    <w:multiLevelType w:val="hybridMultilevel"/>
    <w:tmpl w:val="C650868C"/>
    <w:lvl w:ilvl="0" w:tplc="59BA8EA4">
      <w:start w:val="1"/>
      <w:numFmt w:val="upperRoman"/>
      <w:lvlText w:val="%1-"/>
      <w:lvlJc w:val="left"/>
      <w:pPr>
        <w:ind w:left="1428" w:hanging="72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68EE467E"/>
    <w:multiLevelType w:val="hybridMultilevel"/>
    <w:tmpl w:val="F5321276"/>
    <w:lvl w:ilvl="0" w:tplc="528C547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B049C7"/>
    <w:multiLevelType w:val="hybridMultilevel"/>
    <w:tmpl w:val="1A9C37B6"/>
    <w:lvl w:ilvl="0" w:tplc="B5A4E9C0">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DB5058"/>
    <w:multiLevelType w:val="hybridMultilevel"/>
    <w:tmpl w:val="608691C2"/>
    <w:lvl w:ilvl="0" w:tplc="172EBCE6">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68"/>
    <w:rsid w:val="00043A5A"/>
    <w:rsid w:val="00146AAD"/>
    <w:rsid w:val="001525FE"/>
    <w:rsid w:val="001615D1"/>
    <w:rsid w:val="0024020A"/>
    <w:rsid w:val="00360C96"/>
    <w:rsid w:val="003D7B35"/>
    <w:rsid w:val="00422D74"/>
    <w:rsid w:val="004C73A3"/>
    <w:rsid w:val="006F2685"/>
    <w:rsid w:val="00704491"/>
    <w:rsid w:val="00844B36"/>
    <w:rsid w:val="0086643A"/>
    <w:rsid w:val="008C3456"/>
    <w:rsid w:val="009A5668"/>
    <w:rsid w:val="009B553D"/>
    <w:rsid w:val="009D01B0"/>
    <w:rsid w:val="00A14220"/>
    <w:rsid w:val="00A25C01"/>
    <w:rsid w:val="00A63435"/>
    <w:rsid w:val="00AF13BE"/>
    <w:rsid w:val="00B67E7B"/>
    <w:rsid w:val="00D228C0"/>
    <w:rsid w:val="00E413A8"/>
    <w:rsid w:val="00ED6655"/>
    <w:rsid w:val="00F24320"/>
    <w:rsid w:val="00F405BF"/>
    <w:rsid w:val="00F85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E45F"/>
  <w15:docId w15:val="{0FBD75E8-5E11-4629-8206-01DCD6DB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68"/>
    <w:pPr>
      <w:ind w:left="720"/>
      <w:contextualSpacing/>
    </w:pPr>
  </w:style>
  <w:style w:type="character" w:styleId="Hyperlink">
    <w:name w:val="Hyperlink"/>
    <w:basedOn w:val="DefaultParagraphFont"/>
    <w:uiPriority w:val="99"/>
    <w:unhideWhenUsed/>
    <w:rsid w:val="00F8525B"/>
    <w:rPr>
      <w:color w:val="0563C1" w:themeColor="hyperlink"/>
      <w:u w:val="single"/>
    </w:rPr>
  </w:style>
  <w:style w:type="table" w:styleId="TableGrid">
    <w:name w:val="Table Grid"/>
    <w:basedOn w:val="TableNormal"/>
    <w:uiPriority w:val="59"/>
    <w:rsid w:val="00F2432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2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234567@notificaciones.poderjudicial.gu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Cherin Cisnero</dc:creator>
  <cp:lastModifiedBy>GRACE!</cp:lastModifiedBy>
  <cp:revision>2</cp:revision>
  <dcterms:created xsi:type="dcterms:W3CDTF">2020-10-29T10:09:00Z</dcterms:created>
  <dcterms:modified xsi:type="dcterms:W3CDTF">2020-10-29T10:09:00Z</dcterms:modified>
</cp:coreProperties>
</file>