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A7" w:rsidRDefault="00257B94" w:rsidP="00FC6ECB">
      <w:pPr>
        <w:jc w:val="center"/>
        <w:rPr>
          <w:b/>
          <w:lang w:val="pt-BR"/>
        </w:rPr>
      </w:pPr>
      <w:r>
        <w:rPr>
          <w:b/>
          <w:lang w:val="pt-BR"/>
        </w:rPr>
        <w:t xml:space="preserve">Estrutura </w:t>
      </w:r>
      <w:r w:rsidR="00E009E8">
        <w:rPr>
          <w:b/>
          <w:lang w:val="pt-BR"/>
        </w:rPr>
        <w:t>Etária</w:t>
      </w:r>
    </w:p>
    <w:p w:rsidR="00FC6ECB" w:rsidRDefault="00FC6ECB" w:rsidP="00FC6ECB">
      <w:pPr>
        <w:jc w:val="both"/>
        <w:rPr>
          <w:lang w:val="pt-BR"/>
        </w:rPr>
      </w:pPr>
      <w:r w:rsidRPr="00E22BF6">
        <w:rPr>
          <w:lang w:val="pt-BR"/>
        </w:rPr>
        <w:t>A transição demográfica teve início por volta de 1800</w:t>
      </w:r>
      <w:r>
        <w:rPr>
          <w:lang w:val="pt-BR"/>
        </w:rPr>
        <w:t>,</w:t>
      </w:r>
      <w:r w:rsidRPr="00E22BF6">
        <w:rPr>
          <w:lang w:val="pt-BR"/>
        </w:rPr>
        <w:t xml:space="preserve"> na Europa</w:t>
      </w:r>
      <w:r>
        <w:rPr>
          <w:lang w:val="pt-BR"/>
        </w:rPr>
        <w:t>,</w:t>
      </w:r>
      <w:r w:rsidRPr="00E22BF6">
        <w:rPr>
          <w:lang w:val="pt-BR"/>
        </w:rPr>
        <w:t xml:space="preserve"> e </w:t>
      </w:r>
      <w:r>
        <w:rPr>
          <w:lang w:val="pt-BR"/>
        </w:rPr>
        <w:t>se espalhou por todo o mundo. Antes do início desse processo</w:t>
      </w:r>
      <w:r w:rsidRPr="00E57C45">
        <w:rPr>
          <w:lang w:val="pt-BR"/>
        </w:rPr>
        <w:t>,</w:t>
      </w:r>
      <w:r w:rsidRPr="00E503A1">
        <w:rPr>
          <w:color w:val="00B050"/>
          <w:lang w:val="pt-BR"/>
        </w:rPr>
        <w:t xml:space="preserve"> </w:t>
      </w:r>
      <w:r>
        <w:rPr>
          <w:lang w:val="pt-BR"/>
        </w:rPr>
        <w:t xml:space="preserve">nasciam muitas crianças, mas a taxa de mortalidade, sobretudo a infantil, era bastante elevada </w:t>
      </w:r>
      <w:r w:rsidRPr="00B26100">
        <w:rPr>
          <w:lang w:val="pt-BR"/>
        </w:rPr>
        <w:t>(COALE, 1989; KIRK, 1996; LEE, 2003).</w:t>
      </w:r>
      <w:r>
        <w:rPr>
          <w:lang w:val="pt-BR"/>
        </w:rPr>
        <w:t xml:space="preserve"> Como consequência, a expectativa de vida era curta, vivia-se, </w:t>
      </w:r>
      <w:r w:rsidRPr="00B26100">
        <w:rPr>
          <w:lang w:val="pt-BR"/>
        </w:rPr>
        <w:t>em média, 27 anos</w:t>
      </w:r>
      <w:r>
        <w:rPr>
          <w:lang w:val="pt-BR"/>
        </w:rPr>
        <w:t>,</w:t>
      </w:r>
      <w:r w:rsidRPr="00B26100">
        <w:rPr>
          <w:lang w:val="pt-BR"/>
        </w:rPr>
        <w:t xml:space="preserve"> em 1800 (LEE, 2003)</w:t>
      </w:r>
      <w:r>
        <w:rPr>
          <w:lang w:val="pt-BR"/>
        </w:rPr>
        <w:t>. Nesse período, o crescimento populacional era lento e a população,</w:t>
      </w:r>
      <w:r w:rsidRPr="00E22BF6">
        <w:rPr>
          <w:lang w:val="pt-BR"/>
        </w:rPr>
        <w:t xml:space="preserve"> jovem</w:t>
      </w:r>
      <w:r w:rsidRPr="00E503A1">
        <w:rPr>
          <w:color w:val="00B050"/>
          <w:lang w:val="pt-BR"/>
        </w:rPr>
        <w:t>.</w:t>
      </w:r>
      <w:r>
        <w:rPr>
          <w:lang w:val="pt-BR"/>
        </w:rPr>
        <w:t xml:space="preserve"> Durante a transição demográfica, com o avanço da medicina, da industrialização e da urbanização</w:t>
      </w:r>
      <w:r w:rsidRPr="00E22BF6">
        <w:rPr>
          <w:lang w:val="pt-BR"/>
        </w:rPr>
        <w:t xml:space="preserve">, caiu a </w:t>
      </w:r>
      <w:r>
        <w:rPr>
          <w:lang w:val="pt-BR"/>
        </w:rPr>
        <w:t xml:space="preserve">taxa de mortalidade. Mas, em um primeiro momento, o número de nascimentos se </w:t>
      </w:r>
      <w:r w:rsidRPr="00E22BF6">
        <w:rPr>
          <w:lang w:val="pt-BR"/>
        </w:rPr>
        <w:t>manteve</w:t>
      </w:r>
      <w:r>
        <w:rPr>
          <w:lang w:val="pt-BR"/>
        </w:rPr>
        <w:t xml:space="preserve"> elevado. Com isso, a taxa de crescimento populacional, que até então era lenta e razoavelmente constante, </w:t>
      </w:r>
      <w:r w:rsidRPr="000C6CF3">
        <w:rPr>
          <w:lang w:val="pt-BR"/>
        </w:rPr>
        <w:t>sofreu</w:t>
      </w:r>
      <w:r>
        <w:rPr>
          <w:lang w:val="pt-BR"/>
        </w:rPr>
        <w:t xml:space="preserve"> um acréscimo. Com a consolidação do número de pessoas vivendo nas cidades, a disseminação de métodos contraceptivos e a maior participação das mulheres no mercado de trabalho, </w:t>
      </w:r>
      <w:r w:rsidRPr="00E57C45">
        <w:rPr>
          <w:lang w:val="pt-BR"/>
        </w:rPr>
        <w:t>caiu</w:t>
      </w:r>
      <w:r>
        <w:rPr>
          <w:lang w:val="pt-BR"/>
        </w:rPr>
        <w:t xml:space="preserve"> também o número de filhos por mulher. A taxa de crescimento populacional </w:t>
      </w:r>
      <w:r w:rsidRPr="00E57C45">
        <w:rPr>
          <w:lang w:val="pt-BR"/>
        </w:rPr>
        <w:t>voltou,</w:t>
      </w:r>
      <w:r>
        <w:rPr>
          <w:lang w:val="pt-BR"/>
        </w:rPr>
        <w:t xml:space="preserve"> então, para níveis mais baixos. As projeções populacionais indicam que o processo de transição demográfica deve ser concluído no mundo até 2100, </w:t>
      </w:r>
      <w:r w:rsidRPr="00E57C45">
        <w:rPr>
          <w:lang w:val="pt-BR"/>
        </w:rPr>
        <w:t>quando</w:t>
      </w:r>
      <w:r>
        <w:rPr>
          <w:lang w:val="pt-BR"/>
        </w:rPr>
        <w:t xml:space="preserve"> se estima que haverá</w:t>
      </w:r>
      <w:r w:rsidRPr="00E57C45">
        <w:rPr>
          <w:lang w:val="pt-BR"/>
        </w:rPr>
        <w:t xml:space="preserve"> 11 bilhões de pessoas no</w:t>
      </w:r>
      <w:r>
        <w:rPr>
          <w:lang w:val="pt-BR"/>
        </w:rPr>
        <w:t xml:space="preserve"> mundo (</w:t>
      </w:r>
      <w:r w:rsidRPr="00B26100">
        <w:rPr>
          <w:lang w:val="pt-BR"/>
        </w:rPr>
        <w:t>UNITED NATION</w:t>
      </w:r>
      <w:r>
        <w:rPr>
          <w:lang w:val="pt-BR"/>
        </w:rPr>
        <w:t>S</w:t>
      </w:r>
      <w:r w:rsidRPr="00B26100">
        <w:rPr>
          <w:lang w:val="pt-BR"/>
        </w:rPr>
        <w:t>, 2019</w:t>
      </w:r>
      <w:r>
        <w:rPr>
          <w:lang w:val="pt-BR"/>
        </w:rPr>
        <w:t>)</w:t>
      </w:r>
      <w:r w:rsidRPr="00B26100">
        <w:rPr>
          <w:lang w:val="pt-BR"/>
        </w:rPr>
        <w:t xml:space="preserve">. </w:t>
      </w:r>
    </w:p>
    <w:p w:rsidR="00FC6ECB" w:rsidRPr="00B26100" w:rsidRDefault="00FC6ECB" w:rsidP="00FC6ECB">
      <w:pPr>
        <w:jc w:val="both"/>
        <w:rPr>
          <w:color w:val="00B0F0"/>
          <w:lang w:val="pt-BR"/>
        </w:rPr>
      </w:pPr>
      <w:r w:rsidRPr="00727F68">
        <w:rPr>
          <w:lang w:val="pt-BR"/>
        </w:rPr>
        <w:t>As principais alterações demográficas que ocorreram no Brasil</w:t>
      </w:r>
      <w:r>
        <w:rPr>
          <w:lang w:val="pt-BR"/>
        </w:rPr>
        <w:t>,</w:t>
      </w:r>
      <w:r w:rsidRPr="00727F68">
        <w:rPr>
          <w:lang w:val="pt-BR"/>
        </w:rPr>
        <w:t xml:space="preserve"> nas últimas décadas</w:t>
      </w:r>
      <w:r>
        <w:rPr>
          <w:lang w:val="pt-BR"/>
        </w:rPr>
        <w:t>,</w:t>
      </w:r>
      <w:r w:rsidRPr="00727F68">
        <w:rPr>
          <w:lang w:val="pt-BR"/>
        </w:rPr>
        <w:t xml:space="preserve"> podem ser </w:t>
      </w:r>
      <w:r>
        <w:rPr>
          <w:lang w:val="pt-BR"/>
        </w:rPr>
        <w:t>atribuídas à</w:t>
      </w:r>
      <w:r w:rsidRPr="00727F68">
        <w:rPr>
          <w:lang w:val="pt-BR"/>
        </w:rPr>
        <w:t xml:space="preserve">s mudanças apreendidas nos </w:t>
      </w:r>
      <w:r w:rsidRPr="00727F68">
        <w:rPr>
          <w:b/>
          <w:lang w:val="pt-BR"/>
        </w:rPr>
        <w:t xml:space="preserve">Gráficos 1 </w:t>
      </w:r>
      <w:r w:rsidRPr="00727F68">
        <w:rPr>
          <w:lang w:val="pt-BR"/>
        </w:rPr>
        <w:t>e</w:t>
      </w:r>
      <w:r w:rsidRPr="00727F68">
        <w:rPr>
          <w:b/>
          <w:lang w:val="pt-BR"/>
        </w:rPr>
        <w:t xml:space="preserve"> 2</w:t>
      </w:r>
      <w:r w:rsidRPr="00727F68">
        <w:rPr>
          <w:lang w:val="pt-BR"/>
        </w:rPr>
        <w:t>. A transição demográfica teve início no país com a queda da taxa de mortalidade, a partir de 1940 (</w:t>
      </w:r>
      <w:r>
        <w:rPr>
          <w:lang w:val="pt-BR"/>
        </w:rPr>
        <w:t>WONG;</w:t>
      </w:r>
      <w:r w:rsidRPr="00727F68">
        <w:rPr>
          <w:lang w:val="pt-BR"/>
        </w:rPr>
        <w:t xml:space="preserve"> CARVALHO, 2005). Já o processo de declínio da fecundidade</w:t>
      </w:r>
      <w:r>
        <w:rPr>
          <w:lang w:val="pt-BR"/>
        </w:rPr>
        <w:t>,</w:t>
      </w:r>
      <w:r w:rsidRPr="00727F68">
        <w:rPr>
          <w:lang w:val="pt-BR"/>
        </w:rPr>
        <w:t xml:space="preserve"> no âmbito nacional</w:t>
      </w:r>
      <w:r>
        <w:rPr>
          <w:lang w:val="pt-BR"/>
        </w:rPr>
        <w:t>,</w:t>
      </w:r>
      <w:r w:rsidRPr="00727F68">
        <w:rPr>
          <w:lang w:val="pt-BR"/>
        </w:rPr>
        <w:t xml:space="preserve"> começou na segunda metade dos anos 1960, sobretudo nas áreas urbanas e nas regiões mais prósperas do país, Sul e Sudeste </w:t>
      </w:r>
      <w:r>
        <w:rPr>
          <w:lang w:val="pt-BR"/>
        </w:rPr>
        <w:t xml:space="preserve">(FARIA, 1989; WONG; CARVALHO, 2005; GONÇALVES </w:t>
      </w:r>
      <w:r w:rsidRPr="00774B7F">
        <w:rPr>
          <w:i/>
          <w:lang w:val="pt-BR"/>
        </w:rPr>
        <w:t>et al</w:t>
      </w:r>
      <w:r w:rsidRPr="00727F68">
        <w:rPr>
          <w:lang w:val="pt-BR"/>
        </w:rPr>
        <w:t>.</w:t>
      </w:r>
      <w:r w:rsidRPr="00774B7F">
        <w:rPr>
          <w:i/>
          <w:lang w:val="pt-BR"/>
        </w:rPr>
        <w:t>,</w:t>
      </w:r>
      <w:r w:rsidRPr="00727F68">
        <w:rPr>
          <w:lang w:val="pt-BR"/>
        </w:rPr>
        <w:t xml:space="preserve"> 2019)</w:t>
      </w:r>
      <w:r>
        <w:rPr>
          <w:lang w:val="pt-BR"/>
        </w:rPr>
        <w:t xml:space="preserve">. </w:t>
      </w:r>
      <w:r w:rsidRPr="00727F68">
        <w:rPr>
          <w:lang w:val="pt-BR"/>
        </w:rPr>
        <w:t>Esse processo, entretanto, generalizou-se</w:t>
      </w:r>
      <w:r>
        <w:rPr>
          <w:lang w:val="pt-BR"/>
        </w:rPr>
        <w:t>,</w:t>
      </w:r>
      <w:r w:rsidRPr="00727F68">
        <w:rPr>
          <w:lang w:val="pt-BR"/>
        </w:rPr>
        <w:t xml:space="preserve"> rapid</w:t>
      </w:r>
      <w:r w:rsidRPr="00B20A0D">
        <w:rPr>
          <w:lang w:val="pt-BR"/>
        </w:rPr>
        <w:t>amente</w:t>
      </w:r>
      <w:r>
        <w:rPr>
          <w:lang w:val="pt-BR"/>
        </w:rPr>
        <w:t>, para todas as regiões brasileiras,</w:t>
      </w:r>
      <w:r w:rsidRPr="00727F68">
        <w:rPr>
          <w:lang w:val="pt-BR"/>
        </w:rPr>
        <w:t xml:space="preserve"> a partir dos anos 1970. </w:t>
      </w:r>
      <w:r>
        <w:rPr>
          <w:lang w:val="pt-BR"/>
        </w:rPr>
        <w:t xml:space="preserve">No país, o </w:t>
      </w:r>
      <w:r w:rsidRPr="00727F68">
        <w:rPr>
          <w:lang w:val="pt-BR"/>
        </w:rPr>
        <w:t>número médio de filhos por mulher, de 6,3, em 1960, caiu para 1,9</w:t>
      </w:r>
      <w:r>
        <w:rPr>
          <w:lang w:val="pt-BR"/>
        </w:rPr>
        <w:t>,</w:t>
      </w:r>
      <w:r w:rsidRPr="00727F68">
        <w:rPr>
          <w:lang w:val="pt-BR"/>
        </w:rPr>
        <w:t xml:space="preserve"> em 2010 (</w:t>
      </w:r>
      <w:r w:rsidRPr="00727F68">
        <w:rPr>
          <w:b/>
          <w:lang w:val="pt-BR"/>
        </w:rPr>
        <w:t>Gráfico 1</w:t>
      </w:r>
      <w:r w:rsidRPr="00B26100">
        <w:rPr>
          <w:lang w:val="pt-BR"/>
        </w:rPr>
        <w:t>). Nos dias atuais, a taxa de fecundidade no Brasil é de 1,7 filhos por mulher (IBGE, 2018)</w:t>
      </w:r>
      <w:r w:rsidRPr="00727F68">
        <w:rPr>
          <w:lang w:val="pt-BR"/>
        </w:rPr>
        <w:t xml:space="preserve">. </w:t>
      </w:r>
      <w:r w:rsidRPr="006A595A">
        <w:rPr>
          <w:lang w:val="pt-BR"/>
        </w:rPr>
        <w:t>Já a esperança de vida ao nascer</w:t>
      </w:r>
      <w:r>
        <w:rPr>
          <w:lang w:val="pt-BR"/>
        </w:rPr>
        <w:t xml:space="preserve"> </w:t>
      </w:r>
      <w:r w:rsidRPr="006A595A">
        <w:rPr>
          <w:lang w:val="pt-BR"/>
        </w:rPr>
        <w:t>apresentou ganhos constantes</w:t>
      </w:r>
      <w:r>
        <w:rPr>
          <w:lang w:val="pt-BR"/>
        </w:rPr>
        <w:t xml:space="preserve"> no mesmo período, </w:t>
      </w:r>
      <w:r w:rsidRPr="00A4127F">
        <w:rPr>
          <w:lang w:val="pt-BR"/>
        </w:rPr>
        <w:t xml:space="preserve">ou seja, </w:t>
      </w:r>
      <w:r>
        <w:rPr>
          <w:lang w:val="pt-BR"/>
        </w:rPr>
        <w:t>p</w:t>
      </w:r>
      <w:r w:rsidRPr="006A595A">
        <w:rPr>
          <w:lang w:val="pt-BR"/>
        </w:rPr>
        <w:t>assou de 5</w:t>
      </w:r>
      <w:r w:rsidR="002E7E67">
        <w:rPr>
          <w:lang w:val="pt-BR"/>
        </w:rPr>
        <w:t>0</w:t>
      </w:r>
      <w:r w:rsidRPr="006A595A">
        <w:rPr>
          <w:lang w:val="pt-BR"/>
        </w:rPr>
        <w:t xml:space="preserve"> anos</w:t>
      </w:r>
      <w:r>
        <w:rPr>
          <w:lang w:val="pt-BR"/>
        </w:rPr>
        <w:t>,</w:t>
      </w:r>
      <w:r w:rsidRPr="006A595A">
        <w:rPr>
          <w:lang w:val="pt-BR"/>
        </w:rPr>
        <w:t xml:space="preserve"> entre os homens</w:t>
      </w:r>
      <w:r>
        <w:rPr>
          <w:lang w:val="pt-BR"/>
        </w:rPr>
        <w:t>,</w:t>
      </w:r>
      <w:r w:rsidRPr="006A595A">
        <w:rPr>
          <w:lang w:val="pt-BR"/>
        </w:rPr>
        <w:t xml:space="preserve"> e </w:t>
      </w:r>
      <w:r>
        <w:rPr>
          <w:lang w:val="pt-BR"/>
        </w:rPr>
        <w:t xml:space="preserve">de </w:t>
      </w:r>
      <w:r w:rsidRPr="006A595A">
        <w:rPr>
          <w:lang w:val="pt-BR"/>
        </w:rPr>
        <w:t>56 anos</w:t>
      </w:r>
      <w:r>
        <w:rPr>
          <w:lang w:val="pt-BR"/>
        </w:rPr>
        <w:t>,</w:t>
      </w:r>
      <w:r w:rsidRPr="006A595A">
        <w:rPr>
          <w:lang w:val="pt-BR"/>
        </w:rPr>
        <w:t xml:space="preserve"> entre as mulheres, em 1960, para 72 anos</w:t>
      </w:r>
      <w:r>
        <w:rPr>
          <w:lang w:val="pt-BR"/>
        </w:rPr>
        <w:t>,</w:t>
      </w:r>
      <w:r w:rsidRPr="006A595A">
        <w:rPr>
          <w:lang w:val="pt-BR"/>
        </w:rPr>
        <w:t xml:space="preserve"> entre os homens</w:t>
      </w:r>
      <w:r>
        <w:rPr>
          <w:lang w:val="pt-BR"/>
        </w:rPr>
        <w:t>,</w:t>
      </w:r>
      <w:r w:rsidRPr="006A595A">
        <w:rPr>
          <w:lang w:val="pt-BR"/>
        </w:rPr>
        <w:t xml:space="preserve"> e 79 anos</w:t>
      </w:r>
      <w:r>
        <w:rPr>
          <w:lang w:val="pt-BR"/>
        </w:rPr>
        <w:t>, entre as mulheres, em 201</w:t>
      </w:r>
      <w:r w:rsidR="004A7B20">
        <w:rPr>
          <w:lang w:val="pt-BR"/>
        </w:rPr>
        <w:t>5</w:t>
      </w:r>
      <w:bookmarkStart w:id="0" w:name="_GoBack"/>
      <w:bookmarkEnd w:id="0"/>
      <w:r w:rsidRPr="006A595A">
        <w:rPr>
          <w:lang w:val="pt-BR"/>
        </w:rPr>
        <w:t xml:space="preserve"> (</w:t>
      </w:r>
      <w:r w:rsidRPr="006A595A">
        <w:rPr>
          <w:b/>
          <w:lang w:val="pt-BR"/>
        </w:rPr>
        <w:t>Gráfico 2</w:t>
      </w:r>
      <w:r w:rsidRPr="006A595A">
        <w:rPr>
          <w:lang w:val="pt-BR"/>
        </w:rPr>
        <w:t>).</w:t>
      </w:r>
      <w:r>
        <w:rPr>
          <w:lang w:val="pt-BR"/>
        </w:rPr>
        <w:t xml:space="preserve"> </w:t>
      </w:r>
    </w:p>
    <w:p w:rsidR="00FC6ECB" w:rsidRDefault="00FC6ECB" w:rsidP="006202A7">
      <w:pPr>
        <w:rPr>
          <w:b/>
          <w:lang w:val="pt-BR"/>
        </w:rPr>
        <w:sectPr w:rsidR="00FC6EC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7F7A" w:rsidRDefault="00257B94" w:rsidP="00A27F7A">
      <w:pPr>
        <w:jc w:val="center"/>
        <w:rPr>
          <w:b/>
          <w:lang w:val="pt-BR"/>
        </w:rPr>
      </w:pPr>
      <w:r>
        <w:rPr>
          <w:b/>
          <w:lang w:val="pt-BR"/>
        </w:rPr>
        <w:t>Gráfico 1</w:t>
      </w:r>
      <w:r w:rsidR="00117D6E" w:rsidRPr="006E2ED2">
        <w:rPr>
          <w:b/>
          <w:lang w:val="pt-BR"/>
        </w:rPr>
        <w:t xml:space="preserve">: </w:t>
      </w:r>
      <w:r w:rsidR="00A27F7A">
        <w:rPr>
          <w:b/>
          <w:lang w:val="pt-BR"/>
        </w:rPr>
        <w:t>Taxa de fecundidade</w:t>
      </w:r>
      <w:r w:rsidR="005E392E">
        <w:rPr>
          <w:b/>
          <w:lang w:val="pt-BR"/>
        </w:rPr>
        <w:t xml:space="preserve"> total</w:t>
      </w:r>
      <w:r w:rsidR="00F51059">
        <w:rPr>
          <w:b/>
          <w:lang w:val="pt-BR"/>
        </w:rPr>
        <w:t xml:space="preserve">, </w:t>
      </w:r>
      <w:r w:rsidR="003C4EBA">
        <w:rPr>
          <w:b/>
          <w:lang w:val="pt-BR"/>
        </w:rPr>
        <w:t>Brasil e</w:t>
      </w:r>
      <w:r w:rsidR="00F51059">
        <w:rPr>
          <w:b/>
          <w:lang w:val="pt-BR"/>
        </w:rPr>
        <w:t xml:space="preserve"> Grandes Regiões, 1940-</w:t>
      </w:r>
      <w:r w:rsidR="00F51059" w:rsidRPr="00F51059">
        <w:rPr>
          <w:b/>
          <w:lang w:val="pt-BR"/>
        </w:rPr>
        <w:t>2010</w:t>
      </w:r>
    </w:p>
    <w:p w:rsidR="00F51059" w:rsidRDefault="00F51059" w:rsidP="00A27F7A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E5060EB" wp14:editId="33D41111">
            <wp:extent cx="4739640" cy="2844800"/>
            <wp:effectExtent l="0" t="0" r="3810" b="1270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45161" w:rsidRPr="00C45161" w:rsidRDefault="00C45161" w:rsidP="00C45161">
      <w:pPr>
        <w:rPr>
          <w:b/>
          <w:sz w:val="18"/>
          <w:szCs w:val="18"/>
          <w:lang w:val="pt-BR"/>
        </w:rPr>
      </w:pPr>
      <w:r w:rsidRPr="00C45161">
        <w:rPr>
          <w:b/>
          <w:sz w:val="18"/>
          <w:szCs w:val="18"/>
          <w:lang w:val="pt-BR"/>
        </w:rPr>
        <w:t xml:space="preserve">Fonte: </w:t>
      </w:r>
      <w:r w:rsidRPr="00C45161">
        <w:rPr>
          <w:sz w:val="18"/>
          <w:szCs w:val="18"/>
          <w:lang w:val="pt-BR"/>
        </w:rPr>
        <w:t>IBGE</w:t>
      </w:r>
      <w:r>
        <w:rPr>
          <w:sz w:val="18"/>
          <w:szCs w:val="18"/>
          <w:lang w:val="pt-BR"/>
        </w:rPr>
        <w:t xml:space="preserve">, Censo Demográfico </w:t>
      </w:r>
      <w:r w:rsidR="00003299">
        <w:rPr>
          <w:sz w:val="18"/>
          <w:szCs w:val="18"/>
          <w:lang w:val="pt-BR"/>
        </w:rPr>
        <w:t>(</w:t>
      </w:r>
      <w:r>
        <w:rPr>
          <w:sz w:val="18"/>
          <w:szCs w:val="18"/>
          <w:lang w:val="pt-BR"/>
        </w:rPr>
        <w:t>1940-2010</w:t>
      </w:r>
      <w:r w:rsidR="00003299">
        <w:rPr>
          <w:sz w:val="18"/>
          <w:szCs w:val="18"/>
          <w:lang w:val="pt-BR"/>
        </w:rPr>
        <w:t>)</w:t>
      </w:r>
      <w:r>
        <w:rPr>
          <w:sz w:val="18"/>
          <w:szCs w:val="18"/>
          <w:lang w:val="pt-BR"/>
        </w:rPr>
        <w:t>.</w:t>
      </w:r>
    </w:p>
    <w:p w:rsidR="00A27F7A" w:rsidRPr="00797C0A" w:rsidRDefault="00A27F7A" w:rsidP="00A27F7A">
      <w:pPr>
        <w:jc w:val="center"/>
        <w:rPr>
          <w:lang w:val="pt-BR"/>
        </w:rPr>
      </w:pPr>
      <w:r>
        <w:rPr>
          <w:b/>
          <w:lang w:val="pt-BR"/>
        </w:rPr>
        <w:lastRenderedPageBreak/>
        <w:t>Gráfico 2</w:t>
      </w:r>
      <w:r w:rsidRPr="006E2ED2">
        <w:rPr>
          <w:b/>
          <w:lang w:val="pt-BR"/>
        </w:rPr>
        <w:t xml:space="preserve">: </w:t>
      </w:r>
      <w:r>
        <w:rPr>
          <w:b/>
          <w:lang w:val="pt-BR"/>
        </w:rPr>
        <w:t>Expectativa de vida ao nascer</w:t>
      </w:r>
      <w:r w:rsidRPr="006E2ED2">
        <w:rPr>
          <w:b/>
          <w:lang w:val="pt-BR"/>
        </w:rPr>
        <w:t xml:space="preserve">, Brasil, </w:t>
      </w:r>
      <w:r>
        <w:rPr>
          <w:b/>
          <w:lang w:val="pt-BR"/>
        </w:rPr>
        <w:t>19</w:t>
      </w:r>
      <w:r w:rsidR="003C4EBA">
        <w:rPr>
          <w:b/>
          <w:lang w:val="pt-BR"/>
        </w:rPr>
        <w:t>4</w:t>
      </w:r>
      <w:r>
        <w:rPr>
          <w:b/>
          <w:lang w:val="pt-BR"/>
        </w:rPr>
        <w:t>0</w:t>
      </w:r>
      <w:r w:rsidRPr="006E2ED2">
        <w:rPr>
          <w:b/>
          <w:lang w:val="pt-BR"/>
        </w:rPr>
        <w:t>-20</w:t>
      </w:r>
      <w:r>
        <w:rPr>
          <w:b/>
          <w:lang w:val="pt-BR"/>
        </w:rPr>
        <w:t>1</w:t>
      </w:r>
      <w:r w:rsidR="003C4EBA">
        <w:rPr>
          <w:b/>
          <w:lang w:val="pt-BR"/>
        </w:rPr>
        <w:t>0</w:t>
      </w:r>
    </w:p>
    <w:p w:rsidR="00011F5C" w:rsidRDefault="00011F5C" w:rsidP="00011F5C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B6AF8D7" wp14:editId="1FB31E53">
            <wp:extent cx="5400040" cy="3361055"/>
            <wp:effectExtent l="0" t="0" r="10160" b="1079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11F5C" w:rsidRPr="00011F5C" w:rsidRDefault="00011F5C" w:rsidP="00011F5C">
      <w:pPr>
        <w:rPr>
          <w:b/>
          <w:sz w:val="18"/>
          <w:szCs w:val="18"/>
          <w:lang w:val="pt-BR"/>
        </w:rPr>
      </w:pPr>
      <w:r w:rsidRPr="00C45161">
        <w:rPr>
          <w:b/>
          <w:sz w:val="18"/>
          <w:szCs w:val="18"/>
          <w:lang w:val="pt-BR"/>
        </w:rPr>
        <w:t xml:space="preserve">Fonte: </w:t>
      </w:r>
      <w:r w:rsidRPr="00C45161">
        <w:rPr>
          <w:sz w:val="18"/>
          <w:szCs w:val="18"/>
          <w:lang w:val="pt-BR"/>
        </w:rPr>
        <w:t>IBGE</w:t>
      </w:r>
      <w:r>
        <w:rPr>
          <w:sz w:val="18"/>
          <w:szCs w:val="18"/>
          <w:lang w:val="pt-BR"/>
        </w:rPr>
        <w:t>.</w:t>
      </w:r>
    </w:p>
    <w:p w:rsidR="00FC6ECB" w:rsidRPr="00926F2A" w:rsidRDefault="00FC6ECB" w:rsidP="00FC6ECB">
      <w:pPr>
        <w:jc w:val="both"/>
        <w:rPr>
          <w:color w:val="ED7D31" w:themeColor="accent2"/>
          <w:lang w:val="pt-BR"/>
        </w:rPr>
      </w:pPr>
      <w:r w:rsidRPr="00577C3E">
        <w:rPr>
          <w:lang w:val="pt-BR"/>
        </w:rPr>
        <w:t>Na Amazônia Legal</w:t>
      </w:r>
      <w:r>
        <w:rPr>
          <w:lang w:val="pt-BR"/>
        </w:rPr>
        <w:t xml:space="preserve">, o número médio de filhos por mulher também apresenta tendência de </w:t>
      </w:r>
      <w:r w:rsidRPr="00EC4DFF">
        <w:rPr>
          <w:color w:val="000000" w:themeColor="text1"/>
          <w:lang w:val="pt-BR"/>
        </w:rPr>
        <w:t>queda, como é possível observar no</w:t>
      </w:r>
      <w:r>
        <w:rPr>
          <w:lang w:val="pt-BR"/>
        </w:rPr>
        <w:t xml:space="preserve"> </w:t>
      </w:r>
      <w:r w:rsidRPr="00F32C19">
        <w:rPr>
          <w:b/>
          <w:lang w:val="pt-BR"/>
        </w:rPr>
        <w:t>Gráfico 3</w:t>
      </w:r>
      <w:r>
        <w:rPr>
          <w:lang w:val="pt-BR"/>
        </w:rPr>
        <w:t xml:space="preserve">, </w:t>
      </w:r>
      <w:r w:rsidRPr="00926F2A">
        <w:rPr>
          <w:lang w:val="pt-BR"/>
        </w:rPr>
        <w:t xml:space="preserve">embora, em 2010, a taxa de fecundidade ainda fosse relativamente alta, em média 2,5 filhos por mulher, quando comparada ao valor observado </w:t>
      </w:r>
      <w:r>
        <w:rPr>
          <w:lang w:val="pt-BR"/>
        </w:rPr>
        <w:t>n</w:t>
      </w:r>
      <w:r w:rsidRPr="00926F2A">
        <w:rPr>
          <w:lang w:val="pt-BR"/>
        </w:rPr>
        <w:t>o Brasil. De acordo com Sawy</w:t>
      </w:r>
      <w:r>
        <w:rPr>
          <w:lang w:val="pt-BR"/>
        </w:rPr>
        <w:t xml:space="preserve">er (2015), a mortalidade na região é próxima à média nacional, e a esperança de vida é relativamente elevada. </w:t>
      </w:r>
      <w:r w:rsidRPr="00BE19F7">
        <w:rPr>
          <w:color w:val="00B050"/>
          <w:lang w:val="pt-BR"/>
        </w:rPr>
        <w:t xml:space="preserve"> </w:t>
      </w:r>
    </w:p>
    <w:p w:rsidR="00F32C19" w:rsidRDefault="00D00149" w:rsidP="00D00149">
      <w:pPr>
        <w:jc w:val="center"/>
        <w:rPr>
          <w:b/>
          <w:lang w:val="pt-BR"/>
        </w:rPr>
      </w:pPr>
      <w:r>
        <w:rPr>
          <w:b/>
          <w:lang w:val="pt-BR"/>
        </w:rPr>
        <w:t>Gráfico 3</w:t>
      </w:r>
      <w:r w:rsidRPr="006E2ED2">
        <w:rPr>
          <w:b/>
          <w:lang w:val="pt-BR"/>
        </w:rPr>
        <w:t xml:space="preserve">: </w:t>
      </w:r>
      <w:r>
        <w:rPr>
          <w:b/>
          <w:lang w:val="pt-BR"/>
        </w:rPr>
        <w:t>Taxa de fecundidade total</w:t>
      </w:r>
      <w:r w:rsidR="00A76CEC">
        <w:rPr>
          <w:b/>
          <w:lang w:val="pt-BR"/>
        </w:rPr>
        <w:t xml:space="preserve"> por Unidade</w:t>
      </w:r>
      <w:r>
        <w:rPr>
          <w:b/>
          <w:lang w:val="pt-BR"/>
        </w:rPr>
        <w:t xml:space="preserve"> da Federação, </w:t>
      </w:r>
      <w:r w:rsidR="00A76CEC">
        <w:rPr>
          <w:b/>
          <w:lang w:val="pt-BR"/>
        </w:rPr>
        <w:t>Amazônia Legal, 2000</w:t>
      </w:r>
      <w:r>
        <w:rPr>
          <w:b/>
          <w:lang w:val="pt-BR"/>
        </w:rPr>
        <w:t>-2010</w:t>
      </w:r>
    </w:p>
    <w:p w:rsidR="00D00149" w:rsidRDefault="00F32C19" w:rsidP="00D00149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EC3F7D7" wp14:editId="54B0C6B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00149" w:rsidRPr="006E2ED2">
        <w:rPr>
          <w:b/>
          <w:lang w:val="pt-BR"/>
        </w:rPr>
        <w:t xml:space="preserve"> </w:t>
      </w:r>
    </w:p>
    <w:p w:rsidR="008356A7" w:rsidRPr="008356A7" w:rsidRDefault="008356A7" w:rsidP="008356A7">
      <w:pPr>
        <w:rPr>
          <w:b/>
          <w:sz w:val="18"/>
          <w:szCs w:val="18"/>
          <w:lang w:val="pt-BR"/>
        </w:rPr>
      </w:pPr>
      <w:r w:rsidRPr="00C45161">
        <w:rPr>
          <w:b/>
          <w:sz w:val="18"/>
          <w:szCs w:val="18"/>
          <w:lang w:val="pt-BR"/>
        </w:rPr>
        <w:t xml:space="preserve">Fonte: </w:t>
      </w:r>
      <w:r w:rsidRPr="00C45161">
        <w:rPr>
          <w:sz w:val="18"/>
          <w:szCs w:val="18"/>
          <w:lang w:val="pt-BR"/>
        </w:rPr>
        <w:t>IBGE</w:t>
      </w:r>
      <w:r>
        <w:rPr>
          <w:sz w:val="18"/>
          <w:szCs w:val="18"/>
          <w:lang w:val="pt-BR"/>
        </w:rPr>
        <w:t>.</w:t>
      </w:r>
    </w:p>
    <w:p w:rsidR="00D00149" w:rsidRPr="001C2B7C" w:rsidRDefault="00D00149" w:rsidP="001C2B7C">
      <w:pPr>
        <w:jc w:val="both"/>
        <w:rPr>
          <w:lang w:val="pt-BR"/>
        </w:rPr>
        <w:sectPr w:rsidR="00D00149" w:rsidRPr="001C2B7C" w:rsidSect="00F510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C6ECB" w:rsidRDefault="00FC6ECB" w:rsidP="00FC6ECB">
      <w:pPr>
        <w:jc w:val="both"/>
        <w:rPr>
          <w:lang w:val="pt-BR"/>
        </w:rPr>
      </w:pPr>
      <w:r w:rsidRPr="00081B37">
        <w:rPr>
          <w:lang w:val="pt-BR"/>
        </w:rPr>
        <w:t xml:space="preserve">A </w:t>
      </w:r>
      <w:r>
        <w:rPr>
          <w:lang w:val="pt-BR"/>
        </w:rPr>
        <w:t>interação das tendências</w:t>
      </w:r>
      <w:r w:rsidRPr="00925854">
        <w:rPr>
          <w:lang w:val="pt-BR"/>
        </w:rPr>
        <w:t xml:space="preserve"> anteriormente</w:t>
      </w:r>
      <w:r>
        <w:rPr>
          <w:lang w:val="pt-BR"/>
        </w:rPr>
        <w:t xml:space="preserve"> descritas</w:t>
      </w:r>
      <w:r w:rsidRPr="00925854">
        <w:rPr>
          <w:lang w:val="pt-BR"/>
        </w:rPr>
        <w:t>,</w:t>
      </w:r>
      <w:r w:rsidRPr="00617AAB">
        <w:rPr>
          <w:color w:val="00B050"/>
          <w:lang w:val="pt-BR"/>
        </w:rPr>
        <w:t xml:space="preserve"> </w:t>
      </w:r>
      <w:r>
        <w:rPr>
          <w:lang w:val="pt-BR"/>
        </w:rPr>
        <w:t xml:space="preserve">em especial a rápida queda da taxa de fecundidade, tem transformado a estrutura etária da população brasileira (TURRA; QUEIROZ, </w:t>
      </w:r>
      <w:r>
        <w:rPr>
          <w:lang w:val="pt-BR"/>
        </w:rPr>
        <w:lastRenderedPageBreak/>
        <w:t>2009; WONG; CARVALHO, 2005). De uma estrutura etária jovem (</w:t>
      </w:r>
      <w:r w:rsidRPr="00C17A04">
        <w:rPr>
          <w:b/>
          <w:lang w:val="pt-BR"/>
        </w:rPr>
        <w:t>Figura 1</w:t>
      </w:r>
      <w:r>
        <w:rPr>
          <w:lang w:val="pt-BR"/>
        </w:rPr>
        <w:t>),</w:t>
      </w:r>
      <w:r w:rsidRPr="00925854">
        <w:rPr>
          <w:lang w:val="pt-BR"/>
        </w:rPr>
        <w:t xml:space="preserve"> a população brasileira passa</w:t>
      </w:r>
      <w:r>
        <w:rPr>
          <w:lang w:val="pt-BR"/>
        </w:rPr>
        <w:t xml:space="preserve">, gradualmente, a uma composição de idades mais avançadas. Assim, no período recente, assistimos à redução da proporção de crianças e ao aumento da proporção de pessoas em idade de trabalhar. A estrutura etária perde seu formato tipicamente piramidal e passa a apresentar formato mais retangular (WONG; CARVALHO, 2005) ou semelhante a um botijão de gás (ALVES, 2015), conforme se pode observar na </w:t>
      </w:r>
      <w:r w:rsidRPr="00C17A04">
        <w:rPr>
          <w:b/>
          <w:lang w:val="pt-BR"/>
        </w:rPr>
        <w:t>Figura 2</w:t>
      </w:r>
      <w:r w:rsidRPr="00617AAB">
        <w:rPr>
          <w:lang w:val="pt-BR"/>
        </w:rPr>
        <w:t xml:space="preserve">. </w:t>
      </w:r>
    </w:p>
    <w:p w:rsidR="00FC6ECB" w:rsidRPr="00081B37" w:rsidRDefault="00FC6ECB" w:rsidP="00FC6ECB">
      <w:pPr>
        <w:jc w:val="both"/>
        <w:rPr>
          <w:lang w:val="pt-BR"/>
        </w:rPr>
      </w:pPr>
      <w:r>
        <w:rPr>
          <w:lang w:val="pt-BR"/>
        </w:rPr>
        <w:t>Esse aumento da proporção de pessoas em idade de trabalhar, em relação à população dependente (crianças e idosos), é chamado “bônus demográfico”. Do ponto de vista econômico, o “bônus demográfico” pode significar uma oportunidade de crescimento econômico, redução da pobreza e aumento do bem-estar social, visto que</w:t>
      </w:r>
      <w:r w:rsidRPr="00DF0D5B">
        <w:rPr>
          <w:color w:val="000000" w:themeColor="text1"/>
          <w:lang w:val="pt-BR"/>
        </w:rPr>
        <w:t xml:space="preserve"> </w:t>
      </w:r>
      <w:r w:rsidRPr="000A045F">
        <w:rPr>
          <w:lang w:val="pt-BR"/>
        </w:rPr>
        <w:t xml:space="preserve">implica </w:t>
      </w:r>
      <w:r>
        <w:rPr>
          <w:lang w:val="pt-BR"/>
        </w:rPr>
        <w:t xml:space="preserve">um excedente de pessoas para produzir e pagar impostos, além do aumento da capacidade de poupança e acumulação de capital na economia (ALVES, 2015; WONG; CARVALHO, 2005). Contudo, em longo prazo, novos desafios emergem devido à transformação da estrutura etária e ao consequente envelhecimento da população. As projeções populacionais indicam que, no Brasil, as </w:t>
      </w:r>
      <w:r w:rsidRPr="000A045F">
        <w:rPr>
          <w:lang w:val="pt-BR"/>
        </w:rPr>
        <w:t>próximas</w:t>
      </w:r>
      <w:r>
        <w:rPr>
          <w:lang w:val="pt-BR"/>
        </w:rPr>
        <w:t xml:space="preserve"> décadas serão marcadas por um aumento significativo, em termos relativos e absolutos, da população de 65 anos e mais, </w:t>
      </w:r>
      <w:r w:rsidRPr="00521ECE">
        <w:rPr>
          <w:b/>
          <w:lang w:val="pt-BR"/>
        </w:rPr>
        <w:t>Figura</w:t>
      </w:r>
      <w:r>
        <w:rPr>
          <w:b/>
          <w:lang w:val="pt-BR"/>
        </w:rPr>
        <w:t>s</w:t>
      </w:r>
      <w:r w:rsidRPr="00521ECE">
        <w:rPr>
          <w:b/>
          <w:lang w:val="pt-BR"/>
        </w:rPr>
        <w:t xml:space="preserve"> 3</w:t>
      </w:r>
      <w:r>
        <w:rPr>
          <w:b/>
          <w:lang w:val="pt-BR"/>
        </w:rPr>
        <w:t xml:space="preserve"> </w:t>
      </w:r>
      <w:r w:rsidRPr="00BC0A6D">
        <w:rPr>
          <w:bCs/>
          <w:lang w:val="pt-BR"/>
        </w:rPr>
        <w:t>e</w:t>
      </w:r>
      <w:r>
        <w:rPr>
          <w:b/>
          <w:lang w:val="pt-BR"/>
        </w:rPr>
        <w:t xml:space="preserve"> 4</w:t>
      </w:r>
      <w:r>
        <w:rPr>
          <w:lang w:val="pt-BR"/>
        </w:rPr>
        <w:t>.</w:t>
      </w:r>
    </w:p>
    <w:p w:rsidR="00FC6ECB" w:rsidRDefault="00FC6ECB" w:rsidP="00FC6ECB">
      <w:pPr>
        <w:jc w:val="both"/>
        <w:rPr>
          <w:color w:val="7030A0"/>
          <w:lang w:val="pt-BR"/>
        </w:rPr>
      </w:pPr>
    </w:p>
    <w:p w:rsidR="00E006AB" w:rsidRPr="00E006AB" w:rsidRDefault="00E006AB" w:rsidP="00E006AB">
      <w:pPr>
        <w:jc w:val="both"/>
        <w:rPr>
          <w:lang w:val="pt-BR"/>
        </w:rPr>
      </w:pPr>
      <w:r w:rsidRPr="00E006AB">
        <w:rPr>
          <w:lang w:val="pt-BR"/>
        </w:rPr>
        <w:t xml:space="preserve">Em síntese, como salienta Alves (2015, p. 7): </w:t>
      </w:r>
    </w:p>
    <w:p w:rsidR="00E006AB" w:rsidRDefault="00E006AB" w:rsidP="00E006AB">
      <w:pPr>
        <w:spacing w:line="240" w:lineRule="auto"/>
        <w:ind w:left="2268"/>
        <w:jc w:val="both"/>
        <w:rPr>
          <w:sz w:val="18"/>
          <w:szCs w:val="18"/>
          <w:lang w:val="pt-BR"/>
        </w:rPr>
      </w:pPr>
      <w:r w:rsidRPr="00E006AB">
        <w:rPr>
          <w:sz w:val="18"/>
          <w:szCs w:val="18"/>
          <w:lang w:val="pt-BR"/>
        </w:rPr>
        <w:t>A redução das taxas de fecundidade (número médio de filhos por mulher) implica em um estreitamento imediato da base da distribuição de sexo e idade da população, um alargamento, no médio prazo, da parte central da pirâmide e um adensamento, no longo prazo, do topo da pirâmide etária.</w:t>
      </w:r>
    </w:p>
    <w:p w:rsidR="00E006AB" w:rsidRDefault="00E006AB" w:rsidP="00E006AB">
      <w:pPr>
        <w:spacing w:line="240" w:lineRule="auto"/>
        <w:ind w:left="2268"/>
        <w:jc w:val="both"/>
        <w:rPr>
          <w:sz w:val="18"/>
          <w:szCs w:val="18"/>
          <w:lang w:val="pt-BR"/>
        </w:rPr>
      </w:pPr>
    </w:p>
    <w:p w:rsidR="00E006AB" w:rsidRPr="00DF0D5B" w:rsidRDefault="00E006AB" w:rsidP="00FC6ECB">
      <w:pPr>
        <w:jc w:val="both"/>
        <w:rPr>
          <w:color w:val="7030A0"/>
          <w:lang w:val="pt-BR"/>
        </w:rPr>
        <w:sectPr w:rsidR="00E006AB" w:rsidRPr="00DF0D5B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45468" w:rsidRDefault="00D921B1" w:rsidP="00D921B1">
      <w:pPr>
        <w:jc w:val="center"/>
        <w:rPr>
          <w:b/>
          <w:lang w:val="pt-BR"/>
        </w:rPr>
      </w:pPr>
      <w:r>
        <w:rPr>
          <w:b/>
          <w:lang w:val="pt-BR"/>
        </w:rPr>
        <w:t>Figura 1</w:t>
      </w:r>
      <w:r w:rsidR="00645468">
        <w:rPr>
          <w:b/>
          <w:lang w:val="pt-BR"/>
        </w:rPr>
        <w:t>: Distribuição da população por sexo, segundo grupos quinquenais de idade (0-90+), Brasil 2010</w:t>
      </w:r>
    </w:p>
    <w:p w:rsidR="00645468" w:rsidRDefault="00645468" w:rsidP="00D921B1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14CB861" wp14:editId="3EA9F511">
            <wp:extent cx="2431353" cy="1765300"/>
            <wp:effectExtent l="0" t="0" r="7620" b="1143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921B1" w:rsidRDefault="00D921B1" w:rsidP="00D921B1">
      <w:pPr>
        <w:jc w:val="center"/>
        <w:rPr>
          <w:b/>
          <w:lang w:val="pt-BR"/>
        </w:rPr>
      </w:pPr>
      <w:r>
        <w:rPr>
          <w:b/>
          <w:lang w:val="pt-BR"/>
        </w:rPr>
        <w:t>Figura 2</w:t>
      </w:r>
      <w:r w:rsidR="00645468">
        <w:rPr>
          <w:b/>
          <w:lang w:val="pt-BR"/>
        </w:rPr>
        <w:t>: Distribuição da população por sexo, segundo grupos quinquenais de idade (0-90+), Brasil 2020</w:t>
      </w:r>
    </w:p>
    <w:p w:rsidR="00645468" w:rsidRDefault="00645468" w:rsidP="00D921B1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2288384" wp14:editId="5B04CC36">
            <wp:extent cx="2431353" cy="1765374"/>
            <wp:effectExtent l="0" t="0" r="7620" b="63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45468" w:rsidRDefault="00645468" w:rsidP="00FC6880">
      <w:pPr>
        <w:rPr>
          <w:b/>
          <w:lang w:val="pt-BR"/>
        </w:rPr>
        <w:sectPr w:rsidR="00645468" w:rsidSect="0064546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921B1" w:rsidRDefault="00D921B1" w:rsidP="000F22F3">
      <w:pPr>
        <w:jc w:val="center"/>
        <w:rPr>
          <w:b/>
          <w:lang w:val="pt-BR"/>
        </w:rPr>
      </w:pPr>
      <w:r>
        <w:rPr>
          <w:b/>
          <w:lang w:val="pt-BR"/>
        </w:rPr>
        <w:t>Figura 3</w:t>
      </w:r>
      <w:r w:rsidR="00645468">
        <w:rPr>
          <w:b/>
          <w:lang w:val="pt-BR"/>
        </w:rPr>
        <w:t>: Distribuição da população por sexo, segundo grupos quinquenais de idade (0-90+), Brasil</w:t>
      </w:r>
      <w:r w:rsidR="0082001F">
        <w:rPr>
          <w:b/>
          <w:lang w:val="pt-BR"/>
        </w:rPr>
        <w:t>,</w:t>
      </w:r>
      <w:r w:rsidR="00645468">
        <w:rPr>
          <w:b/>
          <w:lang w:val="pt-BR"/>
        </w:rPr>
        <w:t xml:space="preserve"> 2030</w:t>
      </w:r>
    </w:p>
    <w:p w:rsidR="00FC6880" w:rsidRPr="00576493" w:rsidRDefault="00FC6880" w:rsidP="00FC6880">
      <w:pPr>
        <w:jc w:val="center"/>
        <w:rPr>
          <w:b/>
          <w:lang w:val="pt-BR"/>
        </w:rPr>
      </w:pPr>
      <w:r>
        <w:rPr>
          <w:b/>
          <w:lang w:val="pt-BR"/>
        </w:rPr>
        <w:t>Figura 4</w:t>
      </w:r>
      <w:r w:rsidR="00645468">
        <w:rPr>
          <w:b/>
          <w:lang w:val="pt-BR"/>
        </w:rPr>
        <w:t>: Distribuição da população por sexo, segundo grupos quinquenais de idade (0-90+), Brasil, 2050</w:t>
      </w:r>
    </w:p>
    <w:p w:rsidR="00645468" w:rsidRDefault="00645468" w:rsidP="00FC6880">
      <w:pPr>
        <w:rPr>
          <w:b/>
          <w:lang w:val="pt-BR"/>
        </w:rPr>
        <w:sectPr w:rsidR="00645468" w:rsidSect="00FC68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6880" w:rsidRDefault="00FC6880" w:rsidP="003628D4">
      <w:pPr>
        <w:jc w:val="both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3717C0E" wp14:editId="57DD759E">
            <wp:extent cx="2475230" cy="1738946"/>
            <wp:effectExtent l="0" t="0" r="1270" b="1397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921B1" w:rsidRDefault="00FC6880" w:rsidP="003628D4">
      <w:pPr>
        <w:jc w:val="both"/>
        <w:rPr>
          <w:lang w:val="pt-BR"/>
        </w:rPr>
        <w:sectPr w:rsidR="00D921B1" w:rsidSect="00FC68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pt-BR" w:eastAsia="pt-BR"/>
        </w:rPr>
        <w:drawing>
          <wp:inline distT="0" distB="0" distL="0" distR="0" wp14:anchorId="4E9B0727" wp14:editId="29F39B76">
            <wp:extent cx="2475230" cy="1738630"/>
            <wp:effectExtent l="0" t="0" r="1270" b="1397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82DE6" w:rsidRPr="00482DE6" w:rsidRDefault="00482DE6" w:rsidP="004713A2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="00003299" w:rsidRPr="00003299">
        <w:rPr>
          <w:sz w:val="18"/>
          <w:szCs w:val="18"/>
          <w:lang w:val="pt-BR"/>
        </w:rPr>
        <w:t>IBGE</w:t>
      </w:r>
      <w:r w:rsidR="00003299">
        <w:rPr>
          <w:sz w:val="18"/>
          <w:szCs w:val="18"/>
          <w:lang w:val="pt-BR"/>
        </w:rPr>
        <w:t>,</w:t>
      </w:r>
      <w:r w:rsidR="00003299"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(2010, 2020, 2030 e 2050).</w:t>
      </w:r>
    </w:p>
    <w:p w:rsidR="00FC6ECB" w:rsidRPr="00DD2C70" w:rsidRDefault="00FC6ECB" w:rsidP="00FC6ECB">
      <w:pPr>
        <w:jc w:val="both"/>
        <w:rPr>
          <w:lang w:val="pt-BR"/>
        </w:rPr>
      </w:pPr>
      <w:r>
        <w:rPr>
          <w:lang w:val="pt-BR"/>
        </w:rPr>
        <w:t xml:space="preserve">No que se refere à transição da estrutura etária, mais uma vez, a Amazônia Legal segue a tendência observada no Brasil. Contudo, devido ao processo mais lento de queda da fecundidade na região, o fenômeno do “bônus demográfico” será observado com um </w:t>
      </w:r>
      <w:r w:rsidRPr="0030550C">
        <w:rPr>
          <w:lang w:val="pt-BR"/>
        </w:rPr>
        <w:t>atraso</w:t>
      </w:r>
      <w:r>
        <w:rPr>
          <w:lang w:val="pt-BR"/>
        </w:rPr>
        <w:t xml:space="preserve"> em relação ao restante do país. Diferença que está refletida nas pirâmides etárias da região</w:t>
      </w:r>
      <w:r w:rsidRPr="00DD2C70">
        <w:rPr>
          <w:lang w:val="pt-BR"/>
        </w:rPr>
        <w:t>, como se pode observar</w:t>
      </w:r>
      <w:r>
        <w:rPr>
          <w:lang w:val="pt-BR"/>
        </w:rPr>
        <w:t xml:space="preserve"> </w:t>
      </w:r>
      <w:r w:rsidRPr="00DD2C70">
        <w:rPr>
          <w:lang w:val="pt-BR"/>
        </w:rPr>
        <w:t xml:space="preserve">nas </w:t>
      </w:r>
      <w:r w:rsidRPr="00DD2C70">
        <w:rPr>
          <w:b/>
          <w:lang w:val="pt-BR"/>
        </w:rPr>
        <w:t xml:space="preserve">Figuras 5 </w:t>
      </w:r>
      <w:r w:rsidRPr="001A2D89">
        <w:rPr>
          <w:bCs/>
          <w:lang w:val="pt-BR"/>
        </w:rPr>
        <w:t>a</w:t>
      </w:r>
      <w:r w:rsidRPr="00DD2C70">
        <w:rPr>
          <w:b/>
          <w:lang w:val="pt-BR"/>
        </w:rPr>
        <w:t xml:space="preserve"> 8</w:t>
      </w:r>
      <w:r w:rsidRPr="00DD2C70">
        <w:rPr>
          <w:lang w:val="pt-BR"/>
        </w:rPr>
        <w:t xml:space="preserve">. </w:t>
      </w:r>
    </w:p>
    <w:p w:rsidR="00FC6ECB" w:rsidRDefault="00FC6ECB" w:rsidP="00FC6ECB">
      <w:pPr>
        <w:jc w:val="both"/>
        <w:rPr>
          <w:lang w:val="pt-BR"/>
        </w:rPr>
      </w:pPr>
    </w:p>
    <w:p w:rsidR="00E006AB" w:rsidRDefault="00E006AB" w:rsidP="00FC6ECB">
      <w:pPr>
        <w:jc w:val="both"/>
        <w:rPr>
          <w:lang w:val="pt-BR"/>
        </w:rPr>
      </w:pPr>
    </w:p>
    <w:p w:rsidR="00E006AB" w:rsidRDefault="00E006AB" w:rsidP="00FC6ECB">
      <w:pPr>
        <w:jc w:val="both"/>
        <w:rPr>
          <w:lang w:val="pt-BR"/>
        </w:rPr>
      </w:pPr>
    </w:p>
    <w:p w:rsidR="00E006AB" w:rsidRPr="004713A2" w:rsidRDefault="00E006AB" w:rsidP="00FC6ECB">
      <w:pPr>
        <w:jc w:val="both"/>
        <w:rPr>
          <w:lang w:val="pt-BR"/>
        </w:rPr>
        <w:sectPr w:rsidR="00E006AB" w:rsidRPr="004713A2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7FDB" w:rsidRDefault="004D7FDB" w:rsidP="004D7FDB">
      <w:pPr>
        <w:jc w:val="center"/>
        <w:rPr>
          <w:b/>
          <w:lang w:val="pt-BR"/>
        </w:rPr>
      </w:pPr>
      <w:r>
        <w:rPr>
          <w:b/>
          <w:lang w:val="pt-BR"/>
        </w:rPr>
        <w:t xml:space="preserve">Figura </w:t>
      </w:r>
      <w:r w:rsidR="00422F92">
        <w:rPr>
          <w:b/>
          <w:lang w:val="pt-BR"/>
        </w:rPr>
        <w:t>5</w:t>
      </w:r>
      <w:r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Legal,</w:t>
      </w:r>
      <w:r>
        <w:rPr>
          <w:b/>
          <w:lang w:val="pt-BR"/>
        </w:rPr>
        <w:t xml:space="preserve"> 2010</w:t>
      </w:r>
    </w:p>
    <w:p w:rsidR="004D7FDB" w:rsidRDefault="0082001F" w:rsidP="004D7FDB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55EA15D" wp14:editId="3618403A">
            <wp:extent cx="2475230" cy="1765300"/>
            <wp:effectExtent l="0" t="0" r="1270" b="635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D7FDB" w:rsidRDefault="004D7FDB" w:rsidP="004D7FDB">
      <w:pPr>
        <w:jc w:val="center"/>
        <w:rPr>
          <w:b/>
          <w:lang w:val="pt-BR"/>
        </w:rPr>
      </w:pPr>
      <w:r>
        <w:rPr>
          <w:b/>
          <w:lang w:val="pt-BR"/>
        </w:rPr>
        <w:t xml:space="preserve">Figura </w:t>
      </w:r>
      <w:r w:rsidR="00422F92">
        <w:rPr>
          <w:b/>
          <w:lang w:val="pt-BR"/>
        </w:rPr>
        <w:t>6</w:t>
      </w:r>
      <w:r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Legal,</w:t>
      </w:r>
      <w:r>
        <w:rPr>
          <w:b/>
          <w:lang w:val="pt-BR"/>
        </w:rPr>
        <w:t xml:space="preserve"> 2020</w:t>
      </w:r>
    </w:p>
    <w:p w:rsidR="004D7FDB" w:rsidRDefault="0082001F" w:rsidP="004D7FDB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22AB2D" wp14:editId="3AD26F15">
            <wp:extent cx="2475230" cy="1765300"/>
            <wp:effectExtent l="0" t="0" r="1270" b="635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D7FDB" w:rsidRDefault="004D7FDB" w:rsidP="004D7FDB">
      <w:pPr>
        <w:rPr>
          <w:b/>
          <w:lang w:val="pt-BR"/>
        </w:rPr>
        <w:sectPr w:rsidR="004D7FDB" w:rsidSect="0064546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D7FDB" w:rsidRDefault="00422F92" w:rsidP="004D7FDB">
      <w:pPr>
        <w:jc w:val="center"/>
        <w:rPr>
          <w:b/>
          <w:lang w:val="pt-BR"/>
        </w:rPr>
      </w:pPr>
      <w:r>
        <w:rPr>
          <w:b/>
          <w:lang w:val="pt-BR"/>
        </w:rPr>
        <w:t>Figura 7</w:t>
      </w:r>
      <w:r w:rsidR="004D7FDB"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Legal,</w:t>
      </w:r>
      <w:r w:rsidR="004D7FDB">
        <w:rPr>
          <w:b/>
          <w:lang w:val="pt-BR"/>
        </w:rPr>
        <w:t xml:space="preserve"> 2030</w:t>
      </w:r>
    </w:p>
    <w:p w:rsidR="004D7FDB" w:rsidRDefault="0082001F" w:rsidP="004D7FDB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B07C61D" wp14:editId="07C1CD1C">
            <wp:extent cx="2475230" cy="1738630"/>
            <wp:effectExtent l="0" t="0" r="1270" b="1397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D7FDB" w:rsidRDefault="00422F92" w:rsidP="004D7FDB">
      <w:pPr>
        <w:jc w:val="center"/>
        <w:rPr>
          <w:noProof/>
          <w:lang w:val="pt-BR" w:eastAsia="pt-BR"/>
        </w:rPr>
      </w:pPr>
      <w:r>
        <w:rPr>
          <w:b/>
          <w:lang w:val="pt-BR"/>
        </w:rPr>
        <w:lastRenderedPageBreak/>
        <w:t>Figura 8</w:t>
      </w:r>
      <w:r w:rsidR="004D7FDB"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</w:t>
      </w:r>
      <w:r w:rsidR="004D7FDB">
        <w:rPr>
          <w:b/>
          <w:lang w:val="pt-BR"/>
        </w:rPr>
        <w:t>, 2050</w:t>
      </w:r>
      <w:r w:rsidR="004D7FDB" w:rsidRPr="004D7FDB">
        <w:rPr>
          <w:noProof/>
          <w:lang w:val="pt-BR" w:eastAsia="pt-BR"/>
        </w:rPr>
        <w:t xml:space="preserve"> </w:t>
      </w:r>
    </w:p>
    <w:p w:rsidR="004D7FDB" w:rsidRDefault="0082001F" w:rsidP="00CE4063">
      <w:pPr>
        <w:jc w:val="center"/>
        <w:rPr>
          <w:b/>
          <w:lang w:val="pt-BR"/>
        </w:rPr>
        <w:sectPr w:rsidR="004D7FDB" w:rsidSect="00FC68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pt-BR" w:eastAsia="pt-BR"/>
        </w:rPr>
        <w:drawing>
          <wp:inline distT="0" distB="0" distL="0" distR="0" wp14:anchorId="0A04A4E4" wp14:editId="7AC6F761">
            <wp:extent cx="2475230" cy="1738630"/>
            <wp:effectExtent l="0" t="0" r="1270" b="1397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A0A16" w:rsidRDefault="008A0A16" w:rsidP="004713A2">
      <w:pPr>
        <w:rPr>
          <w:b/>
          <w:lang w:val="pt-BR"/>
        </w:rPr>
        <w:sectPr w:rsidR="008A0A16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0A16" w:rsidRDefault="008A0A16" w:rsidP="003628D4">
      <w:pPr>
        <w:jc w:val="both"/>
        <w:rPr>
          <w:lang w:val="pt-BR"/>
        </w:rPr>
        <w:sectPr w:rsidR="008A0A16" w:rsidSect="008A0A1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CE4063" w:rsidRPr="00CE4063" w:rsidRDefault="00CE4063" w:rsidP="009B0AA0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="00003299" w:rsidRPr="00003299">
        <w:rPr>
          <w:sz w:val="18"/>
          <w:szCs w:val="18"/>
          <w:lang w:val="pt-BR"/>
        </w:rPr>
        <w:t>IBGE,</w:t>
      </w:r>
      <w:r w:rsidR="00003299"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(2010, 2020, 2030 e 2050).</w:t>
      </w:r>
    </w:p>
    <w:p w:rsidR="00FC6ECB" w:rsidRDefault="00FC6ECB" w:rsidP="00FC6ECB">
      <w:pPr>
        <w:jc w:val="both"/>
        <w:rPr>
          <w:lang w:val="pt-BR"/>
        </w:rPr>
      </w:pPr>
      <w:r>
        <w:rPr>
          <w:lang w:val="pt-BR"/>
        </w:rPr>
        <w:t xml:space="preserve">De fato, ao se deslocar o foco da análise para três grandes grupos etários – </w:t>
      </w:r>
      <w:r w:rsidRPr="00DD2C70">
        <w:rPr>
          <w:lang w:val="pt-BR"/>
        </w:rPr>
        <w:t>crianças de 0 a 14 anos; população em idade ativa, 15 a 64 anos; e idosos, 65 anos e mais –</w:t>
      </w:r>
      <w:r>
        <w:rPr>
          <w:lang w:val="pt-BR"/>
        </w:rPr>
        <w:t>,</w:t>
      </w:r>
      <w:r w:rsidRPr="00DD2C70">
        <w:rPr>
          <w:lang w:val="pt-BR"/>
        </w:rPr>
        <w:t xml:space="preserve"> as alterações </w:t>
      </w:r>
      <w:r>
        <w:rPr>
          <w:lang w:val="pt-BR"/>
        </w:rPr>
        <w:t xml:space="preserve">na estrutura etária, bem como o diferencial </w:t>
      </w:r>
      <w:r w:rsidRPr="00824FC3">
        <w:rPr>
          <w:color w:val="000000" w:themeColor="text1"/>
          <w:lang w:val="pt-BR"/>
        </w:rPr>
        <w:t xml:space="preserve">de </w:t>
      </w:r>
      <w:r w:rsidRPr="00824FC3">
        <w:rPr>
          <w:i/>
          <w:color w:val="000000" w:themeColor="text1"/>
          <w:lang w:val="pt-BR"/>
        </w:rPr>
        <w:t>timing</w:t>
      </w:r>
      <w:r w:rsidRPr="00824FC3">
        <w:rPr>
          <w:color w:val="000000" w:themeColor="text1"/>
          <w:lang w:val="pt-BR"/>
        </w:rPr>
        <w:t xml:space="preserve"> entre a Amazônia Legal e o restante do país, </w:t>
      </w:r>
      <w:r>
        <w:rPr>
          <w:lang w:val="pt-BR"/>
        </w:rPr>
        <w:t>ficam ainda mais evidentes (</w:t>
      </w:r>
      <w:r w:rsidRPr="006E3C06">
        <w:rPr>
          <w:b/>
          <w:lang w:val="pt-BR"/>
        </w:rPr>
        <w:t>Gráfico</w:t>
      </w:r>
      <w:r>
        <w:rPr>
          <w:b/>
          <w:lang w:val="pt-BR"/>
        </w:rPr>
        <w:t>s</w:t>
      </w:r>
      <w:r w:rsidRPr="006E3C06">
        <w:rPr>
          <w:b/>
          <w:lang w:val="pt-BR"/>
        </w:rPr>
        <w:t xml:space="preserve"> </w:t>
      </w:r>
      <w:r>
        <w:rPr>
          <w:b/>
          <w:lang w:val="pt-BR"/>
        </w:rPr>
        <w:t xml:space="preserve">4 </w:t>
      </w:r>
      <w:r w:rsidRPr="001A2D89">
        <w:rPr>
          <w:bCs/>
          <w:lang w:val="pt-BR"/>
        </w:rPr>
        <w:t>e</w:t>
      </w:r>
      <w:r>
        <w:rPr>
          <w:b/>
          <w:lang w:val="pt-BR"/>
        </w:rPr>
        <w:t xml:space="preserve"> 5</w:t>
      </w:r>
      <w:r>
        <w:rPr>
          <w:lang w:val="pt-BR"/>
        </w:rPr>
        <w:t xml:space="preserve">). </w:t>
      </w:r>
      <w:r w:rsidRPr="00BA6C08">
        <w:rPr>
          <w:lang w:val="pt-BR"/>
        </w:rPr>
        <w:t>Até 20</w:t>
      </w:r>
      <w:r>
        <w:rPr>
          <w:lang w:val="pt-BR"/>
        </w:rPr>
        <w:t>17,</w:t>
      </w:r>
      <w:r w:rsidRPr="00BA6C08">
        <w:rPr>
          <w:lang w:val="pt-BR"/>
        </w:rPr>
        <w:t xml:space="preserve"> a razão de dependência total para o Brasil</w:t>
      </w:r>
      <w:r>
        <w:rPr>
          <w:lang w:val="pt-BR"/>
        </w:rPr>
        <w:t xml:space="preserve"> foi decrescente devido à redução da relação entre a população inativa jovem e a população ativa. Is</w:t>
      </w:r>
      <w:r w:rsidRPr="00DD2C70">
        <w:rPr>
          <w:lang w:val="pt-BR"/>
        </w:rPr>
        <w:t>so mostra</w:t>
      </w:r>
      <w:r>
        <w:rPr>
          <w:lang w:val="pt-BR"/>
        </w:rPr>
        <w:t xml:space="preserve"> que o peso econômico da relação de dependência diminuiu nesse período, e a população em idade ativa, ao produzir, apresentou potencial de geração de recursos adicionais com conversão em poupança, investimentos e desenvolvimento econômico (ALVES; VASCONCELOS; CARVALHO, 2010; TURRA; QUEIROZ, 2009). Todavia, essa não é uma relação direta. O “bônus demográfico” pouco contribui em uma situação na qual não há geração de empregos e investimento na formação de capital humano, sobretudo para a inserção de jovens no mercado de trabalho. Ademais, esse é um fenômeno transitório por natureza, e o aumento do percentual de idosos na população se acelera ao final do período de “bônus demográfico”. Como indicam as projeções populacionais do Instituto Brasileiro de Geografia e Estatística (IBGE), a partir de 2017, a taxa de dependência total passa a ser crescente devido aos incrementos da relação entre a população inativa idosa e a população ativa (</w:t>
      </w:r>
      <w:r w:rsidRPr="00BF1DFB">
        <w:rPr>
          <w:b/>
          <w:lang w:val="pt-BR"/>
        </w:rPr>
        <w:t>Gráfico 4</w:t>
      </w:r>
      <w:r>
        <w:rPr>
          <w:lang w:val="pt-BR"/>
        </w:rPr>
        <w:t xml:space="preserve">). A razão de dependência jovem passará de 36 para 25 dependentes para cada 100 pessoas em idade ativa, entre 2010 e 2060. Já a razão de dependência dos idosos crescerá de 11 para 43 dependentes para cada 100 pessoas em idade ativa, no mesmo período. Em 2039, projeta-se que a razão de dependência dos idosos será superior àquela observada para o grupo de 0 a 14 anos.  </w:t>
      </w:r>
    </w:p>
    <w:p w:rsidR="00FC6ECB" w:rsidRDefault="00FC6ECB" w:rsidP="00FC6ECB">
      <w:pPr>
        <w:rPr>
          <w:b/>
          <w:lang w:val="pt-BR"/>
        </w:rPr>
        <w:sectPr w:rsidR="00FC6ECB" w:rsidSect="009B0AA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D1CB9" w:rsidRDefault="005136B0" w:rsidP="00622D75">
      <w:pPr>
        <w:jc w:val="center"/>
        <w:rPr>
          <w:b/>
          <w:lang w:val="pt-BR"/>
        </w:rPr>
      </w:pPr>
      <w:r>
        <w:rPr>
          <w:b/>
          <w:lang w:val="pt-BR"/>
        </w:rPr>
        <w:t>Gráfico 4</w:t>
      </w:r>
      <w:r w:rsidR="002D1CB9" w:rsidRPr="006E2ED2">
        <w:rPr>
          <w:b/>
          <w:lang w:val="pt-BR"/>
        </w:rPr>
        <w:t xml:space="preserve">: </w:t>
      </w:r>
      <w:r w:rsidR="005F6E2B">
        <w:rPr>
          <w:b/>
          <w:lang w:val="pt-BR"/>
        </w:rPr>
        <w:t>Razão de Dependência</w:t>
      </w:r>
      <w:r w:rsidR="002D1CB9" w:rsidRPr="006E2ED2">
        <w:rPr>
          <w:b/>
          <w:lang w:val="pt-BR"/>
        </w:rPr>
        <w:t xml:space="preserve">, </w:t>
      </w:r>
      <w:r w:rsidR="005F6E2B">
        <w:rPr>
          <w:b/>
          <w:lang w:val="pt-BR"/>
        </w:rPr>
        <w:t>Brasil, 2010</w:t>
      </w:r>
      <w:r w:rsidR="002D1CB9">
        <w:rPr>
          <w:b/>
          <w:lang w:val="pt-BR"/>
        </w:rPr>
        <w:t>-</w:t>
      </w:r>
      <w:r w:rsidR="005F6E2B">
        <w:rPr>
          <w:b/>
          <w:lang w:val="pt-BR"/>
        </w:rPr>
        <w:t>2060</w:t>
      </w:r>
    </w:p>
    <w:p w:rsidR="00D86CB6" w:rsidRDefault="00D86CB6" w:rsidP="00622D75">
      <w:pPr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35B2818" wp14:editId="0E3672C2">
            <wp:extent cx="5634395" cy="3483177"/>
            <wp:effectExtent l="0" t="0" r="10160" b="317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03299" w:rsidRDefault="00003299" w:rsidP="00003299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Pr="00003299">
        <w:rPr>
          <w:sz w:val="18"/>
          <w:szCs w:val="18"/>
          <w:lang w:val="pt-BR"/>
        </w:rPr>
        <w:t>IBGE,</w:t>
      </w:r>
      <w:r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(2010-2060).</w:t>
      </w:r>
    </w:p>
    <w:p w:rsidR="00655244" w:rsidRDefault="00655244" w:rsidP="00655244">
      <w:pPr>
        <w:jc w:val="both"/>
        <w:rPr>
          <w:lang w:val="pt-BR"/>
        </w:rPr>
      </w:pPr>
      <w:r>
        <w:rPr>
          <w:lang w:val="pt-BR"/>
        </w:rPr>
        <w:t>Na Amazônia Legal, de acordo com as projeções populacionais do IBGE, apenas em 2031 a razão de dependência total interrompe o seu processo de redução (</w:t>
      </w:r>
      <w:r w:rsidRPr="00B716FE">
        <w:rPr>
          <w:b/>
          <w:lang w:val="pt-BR"/>
        </w:rPr>
        <w:t>Gráfico 5</w:t>
      </w:r>
      <w:r>
        <w:rPr>
          <w:lang w:val="pt-BR"/>
        </w:rPr>
        <w:t xml:space="preserve">). A razão de dependência jovem passará de 49 para 27 dependentes para cada 100 pessoas em idade ativa, entre 2010 e 2060. Já a razão de dependência dos idosos crescerá de 8 para 32 dependentes para cada 100 pessoas em idade ativa, no mesmo período. Em 2053, projeta-se que a razão de dependência dos idosos será superior àquela observada para o grupo de 0 a 14 anos. Portanto, na Amazônia Legal, ainda existe espaço para que sejam aproveitadas as oportunidades provenientes de uma estrutura etária favorável. Para tanto, é imprescindível que o desempenho econômico e a geração de empregos recuperem o fôlego perdido desde o final da década passada. No país como um todo, o potencial gerado pelo crescimento da população em idade de trabalhar (PIA), paralelamente à redução da população considerada </w:t>
      </w:r>
      <w:r w:rsidRPr="00D85D9C">
        <w:rPr>
          <w:lang w:val="pt-BR"/>
        </w:rPr>
        <w:t>dependente, não tem sido aproveitado devido à recessão econômica e, consequentemente, da incapacidade do mercado de incorporar a mão de obra disponível. Como salienta Alves (2015), a crise econômica colocou um fim precoce no potencial de aproveitamento de um fenômeno demográf</w:t>
      </w:r>
      <w:r>
        <w:rPr>
          <w:lang w:val="pt-BR"/>
        </w:rPr>
        <w:t xml:space="preserve">ico que seria muito benéfico ao </w:t>
      </w:r>
      <w:r w:rsidRPr="00910D03">
        <w:rPr>
          <w:lang w:val="pt-BR"/>
        </w:rPr>
        <w:t>desenvolvimento econômico e social.</w:t>
      </w:r>
      <w:r>
        <w:rPr>
          <w:lang w:val="pt-BR"/>
        </w:rPr>
        <w:t xml:space="preserve">    </w:t>
      </w:r>
    </w:p>
    <w:p w:rsidR="00D86CB6" w:rsidRDefault="005136B0" w:rsidP="00451DC8">
      <w:pPr>
        <w:jc w:val="center"/>
        <w:rPr>
          <w:b/>
          <w:lang w:val="pt-BR"/>
        </w:rPr>
      </w:pPr>
      <w:r>
        <w:rPr>
          <w:b/>
          <w:lang w:val="pt-BR"/>
        </w:rPr>
        <w:t>Gráfico 5</w:t>
      </w:r>
      <w:r w:rsidR="002D1CB9" w:rsidRPr="006E2ED2">
        <w:rPr>
          <w:b/>
          <w:lang w:val="pt-BR"/>
        </w:rPr>
        <w:t xml:space="preserve">: </w:t>
      </w:r>
      <w:r w:rsidR="005F6E2B">
        <w:rPr>
          <w:b/>
          <w:lang w:val="pt-BR"/>
        </w:rPr>
        <w:t>Razão de Dependência</w:t>
      </w:r>
      <w:r w:rsidR="005F6E2B" w:rsidRPr="006E2ED2">
        <w:rPr>
          <w:b/>
          <w:lang w:val="pt-BR"/>
        </w:rPr>
        <w:t xml:space="preserve">, </w:t>
      </w:r>
      <w:r w:rsidR="005F6E2B">
        <w:rPr>
          <w:b/>
          <w:lang w:val="pt-BR"/>
        </w:rPr>
        <w:t>Amazônia Legal, 2010-206</w:t>
      </w:r>
      <w:r w:rsidR="00617D0C">
        <w:rPr>
          <w:b/>
          <w:lang w:val="pt-BR"/>
        </w:rPr>
        <w:t>0</w:t>
      </w:r>
    </w:p>
    <w:p w:rsidR="00D86CB6" w:rsidRDefault="00D86CB6" w:rsidP="005F6E2B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AA712FB" wp14:editId="7137A576">
            <wp:extent cx="5634355" cy="3435607"/>
            <wp:effectExtent l="0" t="0" r="4445" b="1270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03299" w:rsidRPr="00CE4063" w:rsidRDefault="00003299" w:rsidP="00003299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Pr="00003299">
        <w:rPr>
          <w:sz w:val="18"/>
          <w:szCs w:val="18"/>
          <w:lang w:val="pt-BR"/>
        </w:rPr>
        <w:t>IBGE,</w:t>
      </w:r>
      <w:r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(2010-2060).</w:t>
      </w:r>
    </w:p>
    <w:p w:rsidR="00003299" w:rsidRDefault="00003299" w:rsidP="005F6E2B">
      <w:pPr>
        <w:jc w:val="center"/>
        <w:rPr>
          <w:lang w:val="pt-BR"/>
        </w:rPr>
        <w:sectPr w:rsidR="00003299" w:rsidSect="00D86C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86CB6" w:rsidRPr="00BA6C08" w:rsidRDefault="00D86CB6" w:rsidP="00BA6C08">
      <w:pPr>
        <w:rPr>
          <w:highlight w:val="yellow"/>
          <w:lang w:val="pt-BR"/>
        </w:rPr>
        <w:sectPr w:rsidR="00D86CB6" w:rsidRPr="00BA6C08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3DC8" w:rsidRPr="008F7D01" w:rsidRDefault="005D3DC8" w:rsidP="00655244">
      <w:pPr>
        <w:jc w:val="both"/>
        <w:rPr>
          <w:lang w:val="pt-BR"/>
        </w:rPr>
      </w:pPr>
    </w:p>
    <w:sectPr w:rsidR="005D3DC8" w:rsidRPr="008F7D01" w:rsidSect="00A27F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62"/>
    <w:rsid w:val="00003299"/>
    <w:rsid w:val="00011F5C"/>
    <w:rsid w:val="00016D7A"/>
    <w:rsid w:val="00034366"/>
    <w:rsid w:val="0004041B"/>
    <w:rsid w:val="00041FA3"/>
    <w:rsid w:val="00044156"/>
    <w:rsid w:val="00046841"/>
    <w:rsid w:val="00081B37"/>
    <w:rsid w:val="000855BB"/>
    <w:rsid w:val="00094EAE"/>
    <w:rsid w:val="000965E9"/>
    <w:rsid w:val="000A4A1B"/>
    <w:rsid w:val="000D7968"/>
    <w:rsid w:val="000E1E62"/>
    <w:rsid w:val="000F22F3"/>
    <w:rsid w:val="000F7398"/>
    <w:rsid w:val="000F77F9"/>
    <w:rsid w:val="00101DBB"/>
    <w:rsid w:val="00114A81"/>
    <w:rsid w:val="00117D6E"/>
    <w:rsid w:val="001262C5"/>
    <w:rsid w:val="00143EF6"/>
    <w:rsid w:val="00156192"/>
    <w:rsid w:val="00157713"/>
    <w:rsid w:val="00164A44"/>
    <w:rsid w:val="00177111"/>
    <w:rsid w:val="00177899"/>
    <w:rsid w:val="00182390"/>
    <w:rsid w:val="00182525"/>
    <w:rsid w:val="001825DA"/>
    <w:rsid w:val="001834E5"/>
    <w:rsid w:val="00183D2C"/>
    <w:rsid w:val="00183DA5"/>
    <w:rsid w:val="0019797D"/>
    <w:rsid w:val="001A347B"/>
    <w:rsid w:val="001B0A5F"/>
    <w:rsid w:val="001B3E1B"/>
    <w:rsid w:val="001C01A7"/>
    <w:rsid w:val="001C2538"/>
    <w:rsid w:val="001C2B7C"/>
    <w:rsid w:val="001E2670"/>
    <w:rsid w:val="001E7086"/>
    <w:rsid w:val="001F114D"/>
    <w:rsid w:val="00215CEB"/>
    <w:rsid w:val="00224A6D"/>
    <w:rsid w:val="00224D09"/>
    <w:rsid w:val="00232520"/>
    <w:rsid w:val="00232C5F"/>
    <w:rsid w:val="00237814"/>
    <w:rsid w:val="00246CF3"/>
    <w:rsid w:val="00257B94"/>
    <w:rsid w:val="00267862"/>
    <w:rsid w:val="0028021C"/>
    <w:rsid w:val="002B33DA"/>
    <w:rsid w:val="002D1CB9"/>
    <w:rsid w:val="002D2AF7"/>
    <w:rsid w:val="002D6215"/>
    <w:rsid w:val="002E6CF8"/>
    <w:rsid w:val="002E7E67"/>
    <w:rsid w:val="0030483A"/>
    <w:rsid w:val="0030550C"/>
    <w:rsid w:val="00312ED1"/>
    <w:rsid w:val="00341448"/>
    <w:rsid w:val="003628D4"/>
    <w:rsid w:val="003A0911"/>
    <w:rsid w:val="003A5674"/>
    <w:rsid w:val="003B2D4A"/>
    <w:rsid w:val="003B614A"/>
    <w:rsid w:val="003C4EBA"/>
    <w:rsid w:val="003C725A"/>
    <w:rsid w:val="003D11BD"/>
    <w:rsid w:val="003E0E9A"/>
    <w:rsid w:val="003E45FB"/>
    <w:rsid w:val="003E5733"/>
    <w:rsid w:val="003F0E0E"/>
    <w:rsid w:val="003F3360"/>
    <w:rsid w:val="003F6E98"/>
    <w:rsid w:val="00407F75"/>
    <w:rsid w:val="00416D01"/>
    <w:rsid w:val="00422F92"/>
    <w:rsid w:val="00423D22"/>
    <w:rsid w:val="00441FFA"/>
    <w:rsid w:val="00446145"/>
    <w:rsid w:val="00451DC8"/>
    <w:rsid w:val="00464F58"/>
    <w:rsid w:val="004713A2"/>
    <w:rsid w:val="00474E05"/>
    <w:rsid w:val="00482DE6"/>
    <w:rsid w:val="004A7636"/>
    <w:rsid w:val="004A7B20"/>
    <w:rsid w:val="004B5F8B"/>
    <w:rsid w:val="004D514E"/>
    <w:rsid w:val="004D7FDB"/>
    <w:rsid w:val="004F6943"/>
    <w:rsid w:val="00500A54"/>
    <w:rsid w:val="00504794"/>
    <w:rsid w:val="005122C0"/>
    <w:rsid w:val="005136B0"/>
    <w:rsid w:val="005138CD"/>
    <w:rsid w:val="00521ECE"/>
    <w:rsid w:val="005220A6"/>
    <w:rsid w:val="00527D56"/>
    <w:rsid w:val="005320AF"/>
    <w:rsid w:val="00532B6C"/>
    <w:rsid w:val="00541E16"/>
    <w:rsid w:val="00556E95"/>
    <w:rsid w:val="00560476"/>
    <w:rsid w:val="00573F22"/>
    <w:rsid w:val="00576493"/>
    <w:rsid w:val="00577C3E"/>
    <w:rsid w:val="00580760"/>
    <w:rsid w:val="00580C6E"/>
    <w:rsid w:val="00587877"/>
    <w:rsid w:val="005A7992"/>
    <w:rsid w:val="005B17C2"/>
    <w:rsid w:val="005C4568"/>
    <w:rsid w:val="005D1AD1"/>
    <w:rsid w:val="005D3DC8"/>
    <w:rsid w:val="005E392E"/>
    <w:rsid w:val="005F68DB"/>
    <w:rsid w:val="005F6E2B"/>
    <w:rsid w:val="006005C0"/>
    <w:rsid w:val="00600B00"/>
    <w:rsid w:val="00603404"/>
    <w:rsid w:val="006036FA"/>
    <w:rsid w:val="00615DDC"/>
    <w:rsid w:val="0061656B"/>
    <w:rsid w:val="00617D0C"/>
    <w:rsid w:val="006202A7"/>
    <w:rsid w:val="0062129D"/>
    <w:rsid w:val="00622D75"/>
    <w:rsid w:val="00623D14"/>
    <w:rsid w:val="00630932"/>
    <w:rsid w:val="006372D1"/>
    <w:rsid w:val="00637EE6"/>
    <w:rsid w:val="00641618"/>
    <w:rsid w:val="00645468"/>
    <w:rsid w:val="00655244"/>
    <w:rsid w:val="0066675A"/>
    <w:rsid w:val="0067464F"/>
    <w:rsid w:val="006835C4"/>
    <w:rsid w:val="0069157D"/>
    <w:rsid w:val="006A595A"/>
    <w:rsid w:val="006A62C4"/>
    <w:rsid w:val="006B6FCB"/>
    <w:rsid w:val="006C065C"/>
    <w:rsid w:val="006C38D4"/>
    <w:rsid w:val="006D0CC0"/>
    <w:rsid w:val="006E0405"/>
    <w:rsid w:val="006E2ED2"/>
    <w:rsid w:val="006E3C06"/>
    <w:rsid w:val="006E40C1"/>
    <w:rsid w:val="006E4F31"/>
    <w:rsid w:val="006F1477"/>
    <w:rsid w:val="006F3E84"/>
    <w:rsid w:val="00701687"/>
    <w:rsid w:val="00704766"/>
    <w:rsid w:val="00704ABC"/>
    <w:rsid w:val="00727F68"/>
    <w:rsid w:val="00751908"/>
    <w:rsid w:val="00756D7B"/>
    <w:rsid w:val="00766144"/>
    <w:rsid w:val="00772894"/>
    <w:rsid w:val="00773ADC"/>
    <w:rsid w:val="00792CDF"/>
    <w:rsid w:val="007930CA"/>
    <w:rsid w:val="00795D3E"/>
    <w:rsid w:val="00797C0A"/>
    <w:rsid w:val="007A7DC5"/>
    <w:rsid w:val="007B335A"/>
    <w:rsid w:val="007C435F"/>
    <w:rsid w:val="007D23DD"/>
    <w:rsid w:val="007E3963"/>
    <w:rsid w:val="007E457D"/>
    <w:rsid w:val="007E6176"/>
    <w:rsid w:val="007F41AF"/>
    <w:rsid w:val="007F5352"/>
    <w:rsid w:val="007F6B66"/>
    <w:rsid w:val="00800A01"/>
    <w:rsid w:val="00813D77"/>
    <w:rsid w:val="00817841"/>
    <w:rsid w:val="0082001F"/>
    <w:rsid w:val="00822369"/>
    <w:rsid w:val="00822E65"/>
    <w:rsid w:val="008356A7"/>
    <w:rsid w:val="0083681C"/>
    <w:rsid w:val="008416FB"/>
    <w:rsid w:val="008477C7"/>
    <w:rsid w:val="00847AF3"/>
    <w:rsid w:val="0085268C"/>
    <w:rsid w:val="00855CD5"/>
    <w:rsid w:val="00873094"/>
    <w:rsid w:val="0088007B"/>
    <w:rsid w:val="00882E3F"/>
    <w:rsid w:val="008A0A16"/>
    <w:rsid w:val="008A16AF"/>
    <w:rsid w:val="008A471B"/>
    <w:rsid w:val="008B02DB"/>
    <w:rsid w:val="008B1AA6"/>
    <w:rsid w:val="008B20BB"/>
    <w:rsid w:val="008C4105"/>
    <w:rsid w:val="008C41E2"/>
    <w:rsid w:val="008C4F13"/>
    <w:rsid w:val="008C5712"/>
    <w:rsid w:val="008E38D0"/>
    <w:rsid w:val="008E62C6"/>
    <w:rsid w:val="008F137D"/>
    <w:rsid w:val="008F2B37"/>
    <w:rsid w:val="008F3401"/>
    <w:rsid w:val="008F7D01"/>
    <w:rsid w:val="009022FA"/>
    <w:rsid w:val="00910D03"/>
    <w:rsid w:val="00912356"/>
    <w:rsid w:val="00927162"/>
    <w:rsid w:val="00931E21"/>
    <w:rsid w:val="00977C5D"/>
    <w:rsid w:val="009B0AA0"/>
    <w:rsid w:val="009B42B5"/>
    <w:rsid w:val="009C6AE2"/>
    <w:rsid w:val="009D3709"/>
    <w:rsid w:val="009D3B00"/>
    <w:rsid w:val="009E4D47"/>
    <w:rsid w:val="009E70E6"/>
    <w:rsid w:val="009F378D"/>
    <w:rsid w:val="00A129BB"/>
    <w:rsid w:val="00A169F4"/>
    <w:rsid w:val="00A21392"/>
    <w:rsid w:val="00A233FA"/>
    <w:rsid w:val="00A27F7A"/>
    <w:rsid w:val="00A40C34"/>
    <w:rsid w:val="00A76CEC"/>
    <w:rsid w:val="00A83255"/>
    <w:rsid w:val="00A84170"/>
    <w:rsid w:val="00A871DD"/>
    <w:rsid w:val="00A95B06"/>
    <w:rsid w:val="00AC4385"/>
    <w:rsid w:val="00AE05D2"/>
    <w:rsid w:val="00AE2C68"/>
    <w:rsid w:val="00AE4418"/>
    <w:rsid w:val="00B05384"/>
    <w:rsid w:val="00B14831"/>
    <w:rsid w:val="00B44886"/>
    <w:rsid w:val="00B52035"/>
    <w:rsid w:val="00B540D7"/>
    <w:rsid w:val="00B5607F"/>
    <w:rsid w:val="00B603CC"/>
    <w:rsid w:val="00B6059E"/>
    <w:rsid w:val="00B61BA8"/>
    <w:rsid w:val="00B64B6F"/>
    <w:rsid w:val="00B716FE"/>
    <w:rsid w:val="00B91CEA"/>
    <w:rsid w:val="00B95F07"/>
    <w:rsid w:val="00BA6C08"/>
    <w:rsid w:val="00BB1874"/>
    <w:rsid w:val="00BB5AA5"/>
    <w:rsid w:val="00BB7978"/>
    <w:rsid w:val="00BC4E46"/>
    <w:rsid w:val="00BF1DFB"/>
    <w:rsid w:val="00C1649A"/>
    <w:rsid w:val="00C17795"/>
    <w:rsid w:val="00C17A04"/>
    <w:rsid w:val="00C3361C"/>
    <w:rsid w:val="00C41064"/>
    <w:rsid w:val="00C444E2"/>
    <w:rsid w:val="00C45161"/>
    <w:rsid w:val="00C66F74"/>
    <w:rsid w:val="00C81969"/>
    <w:rsid w:val="00C95C89"/>
    <w:rsid w:val="00C96646"/>
    <w:rsid w:val="00CA0D2E"/>
    <w:rsid w:val="00CB2B81"/>
    <w:rsid w:val="00CB437B"/>
    <w:rsid w:val="00CB48DD"/>
    <w:rsid w:val="00CC0E3B"/>
    <w:rsid w:val="00CC5A04"/>
    <w:rsid w:val="00CD554F"/>
    <w:rsid w:val="00CD60F3"/>
    <w:rsid w:val="00CD6F3C"/>
    <w:rsid w:val="00CE4063"/>
    <w:rsid w:val="00CE5EC9"/>
    <w:rsid w:val="00CF4325"/>
    <w:rsid w:val="00CF5B08"/>
    <w:rsid w:val="00CF64AC"/>
    <w:rsid w:val="00CF79F4"/>
    <w:rsid w:val="00D00149"/>
    <w:rsid w:val="00D16093"/>
    <w:rsid w:val="00D201BD"/>
    <w:rsid w:val="00D32FD8"/>
    <w:rsid w:val="00D35865"/>
    <w:rsid w:val="00D4464A"/>
    <w:rsid w:val="00D4681D"/>
    <w:rsid w:val="00D57F8A"/>
    <w:rsid w:val="00D62286"/>
    <w:rsid w:val="00D71A45"/>
    <w:rsid w:val="00D74C12"/>
    <w:rsid w:val="00D83D33"/>
    <w:rsid w:val="00D86530"/>
    <w:rsid w:val="00D86CB6"/>
    <w:rsid w:val="00D921B1"/>
    <w:rsid w:val="00D9723B"/>
    <w:rsid w:val="00DA5954"/>
    <w:rsid w:val="00DA75C6"/>
    <w:rsid w:val="00DC5325"/>
    <w:rsid w:val="00DE197D"/>
    <w:rsid w:val="00DF25BA"/>
    <w:rsid w:val="00DF4E90"/>
    <w:rsid w:val="00E006AB"/>
    <w:rsid w:val="00E009E8"/>
    <w:rsid w:val="00E07F31"/>
    <w:rsid w:val="00E238AC"/>
    <w:rsid w:val="00E23C61"/>
    <w:rsid w:val="00E24CA0"/>
    <w:rsid w:val="00E26645"/>
    <w:rsid w:val="00E33762"/>
    <w:rsid w:val="00E33840"/>
    <w:rsid w:val="00E410D9"/>
    <w:rsid w:val="00E5131E"/>
    <w:rsid w:val="00E579A6"/>
    <w:rsid w:val="00E66403"/>
    <w:rsid w:val="00E70F88"/>
    <w:rsid w:val="00E71871"/>
    <w:rsid w:val="00E7351D"/>
    <w:rsid w:val="00E9431A"/>
    <w:rsid w:val="00E946C6"/>
    <w:rsid w:val="00EB447B"/>
    <w:rsid w:val="00EB4CA6"/>
    <w:rsid w:val="00EB51E5"/>
    <w:rsid w:val="00EC2548"/>
    <w:rsid w:val="00EC7AA6"/>
    <w:rsid w:val="00EE279D"/>
    <w:rsid w:val="00EF4AF5"/>
    <w:rsid w:val="00F157F5"/>
    <w:rsid w:val="00F21655"/>
    <w:rsid w:val="00F229B1"/>
    <w:rsid w:val="00F25ED6"/>
    <w:rsid w:val="00F27225"/>
    <w:rsid w:val="00F27A1D"/>
    <w:rsid w:val="00F30C70"/>
    <w:rsid w:val="00F32C19"/>
    <w:rsid w:val="00F36596"/>
    <w:rsid w:val="00F51059"/>
    <w:rsid w:val="00F62124"/>
    <w:rsid w:val="00F83ACC"/>
    <w:rsid w:val="00F90814"/>
    <w:rsid w:val="00FA4A79"/>
    <w:rsid w:val="00FC6880"/>
    <w:rsid w:val="00FC6ECB"/>
    <w:rsid w:val="00FD6427"/>
    <w:rsid w:val="00FD7B0C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3C0F"/>
  <w15:chartTrackingRefBased/>
  <w15:docId w15:val="{B3D4A0CB-D028-43E8-BAE2-6E7EAF0C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link w:val="Ttulo3Char"/>
    <w:uiPriority w:val="9"/>
    <w:qFormat/>
    <w:rsid w:val="00620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74C1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7636"/>
    <w:rPr>
      <w:color w:val="954F72" w:themeColor="followedHyperlink"/>
      <w:u w:val="single"/>
    </w:rPr>
  </w:style>
  <w:style w:type="paragraph" w:customStyle="1" w:styleId="Default">
    <w:name w:val="Default"/>
    <w:rsid w:val="00A841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202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a%20Alfenas\Dropbox\EU\PROJETOS\PUC\AMAZ&#212;NIA%202030\ARTIGO_Emprego%20e%20Informalidade%20Amaz&#244;nia\Artigo\Estrutura%20Et&#225;ria\tabela3727_TF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indicadores_BRASIL_AM%20LEGAL.xls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indicadores_BRASIL_AM%20LEGAL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a%20Alfenas\Dropbox\EU\PROJETOS\PUC\AMAZ&#212;NIA%202030\ARTIGO_Emprego%20e%20Informalidade%20Amaz&#244;nia\Artigo\Estrutura%20Et&#225;ria\IBGE\tabela3727_TF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a%20Alfenas\Dropbox\EU\PROJETOS\PUC\AMAZ&#212;NIA%202030\ARTIGO_Emprego%20e%20Informalidade%20Amaz&#244;nia\Artigo\Estrutura%20Et&#225;ria\tabela3727_TF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Planilha1!$B$3</c:f>
              <c:strCache>
                <c:ptCount val="1"/>
                <c:pt idx="0">
                  <c:v>1940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Planilha1!$B$4:$B$9</c:f>
              <c:numCache>
                <c:formatCode>General</c:formatCode>
                <c:ptCount val="6"/>
                <c:pt idx="0">
                  <c:v>6.16</c:v>
                </c:pt>
                <c:pt idx="1">
                  <c:v>7.17</c:v>
                </c:pt>
                <c:pt idx="2">
                  <c:v>7.15</c:v>
                </c:pt>
                <c:pt idx="3">
                  <c:v>5.69</c:v>
                </c:pt>
                <c:pt idx="4">
                  <c:v>5.65</c:v>
                </c:pt>
                <c:pt idx="5">
                  <c:v>6.36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A0-4303-9365-A6D34CB8B3FA}"/>
            </c:ext>
          </c:extLst>
        </c:ser>
        <c:ser>
          <c:idx val="1"/>
          <c:order val="1"/>
          <c:tx>
            <c:strRef>
              <c:f>Planilha1!$C$3</c:f>
              <c:strCache>
                <c:ptCount val="1"/>
                <c:pt idx="0">
                  <c:v>1950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Planilha1!$C$4:$C$9</c:f>
              <c:numCache>
                <c:formatCode>General</c:formatCode>
                <c:ptCount val="6"/>
                <c:pt idx="0">
                  <c:v>6.21</c:v>
                </c:pt>
                <c:pt idx="1">
                  <c:v>7.97</c:v>
                </c:pt>
                <c:pt idx="2">
                  <c:v>7.5</c:v>
                </c:pt>
                <c:pt idx="3">
                  <c:v>5.45</c:v>
                </c:pt>
                <c:pt idx="4">
                  <c:v>5.7</c:v>
                </c:pt>
                <c:pt idx="5">
                  <c:v>6.86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A0-4303-9365-A6D34CB8B3FA}"/>
            </c:ext>
          </c:extLst>
        </c:ser>
        <c:ser>
          <c:idx val="2"/>
          <c:order val="2"/>
          <c:tx>
            <c:strRef>
              <c:f>Planilha1!$D$3</c:f>
              <c:strCache>
                <c:ptCount val="1"/>
                <c:pt idx="0">
                  <c:v>1960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Planilha1!$D$4:$D$9</c:f>
              <c:numCache>
                <c:formatCode>General</c:formatCode>
                <c:ptCount val="6"/>
                <c:pt idx="0">
                  <c:v>6.28</c:v>
                </c:pt>
                <c:pt idx="1">
                  <c:v>8.56</c:v>
                </c:pt>
                <c:pt idx="2">
                  <c:v>7.39</c:v>
                </c:pt>
                <c:pt idx="3">
                  <c:v>6.34</c:v>
                </c:pt>
                <c:pt idx="4">
                  <c:v>5.89</c:v>
                </c:pt>
                <c:pt idx="5">
                  <c:v>6.74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A0-4303-9365-A6D34CB8B3FA}"/>
            </c:ext>
          </c:extLst>
        </c:ser>
        <c:ser>
          <c:idx val="3"/>
          <c:order val="3"/>
          <c:tx>
            <c:strRef>
              <c:f>Planilha1!$E$3</c:f>
              <c:strCache>
                <c:ptCount val="1"/>
                <c:pt idx="0">
                  <c:v>1970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Planilha1!$E$4:$E$9</c:f>
              <c:numCache>
                <c:formatCode>General</c:formatCode>
                <c:ptCount val="6"/>
                <c:pt idx="0">
                  <c:v>5.76</c:v>
                </c:pt>
                <c:pt idx="1">
                  <c:v>8.15</c:v>
                </c:pt>
                <c:pt idx="2">
                  <c:v>7.53</c:v>
                </c:pt>
                <c:pt idx="3">
                  <c:v>4.5599999999999996</c:v>
                </c:pt>
                <c:pt idx="4">
                  <c:v>5.42</c:v>
                </c:pt>
                <c:pt idx="5">
                  <c:v>6.42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A0-4303-9365-A6D34CB8B3FA}"/>
            </c:ext>
          </c:extLst>
        </c:ser>
        <c:ser>
          <c:idx val="4"/>
          <c:order val="4"/>
          <c:tx>
            <c:strRef>
              <c:f>Planilha1!$F$3</c:f>
              <c:strCache>
                <c:ptCount val="1"/>
                <c:pt idx="0">
                  <c:v>1980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Planilha1!$F$4:$F$9</c:f>
              <c:numCache>
                <c:formatCode>General</c:formatCode>
                <c:ptCount val="6"/>
                <c:pt idx="0">
                  <c:v>4.3499999999999996</c:v>
                </c:pt>
                <c:pt idx="1">
                  <c:v>6.45</c:v>
                </c:pt>
                <c:pt idx="2">
                  <c:v>6.13</c:v>
                </c:pt>
                <c:pt idx="3">
                  <c:v>3.45</c:v>
                </c:pt>
                <c:pt idx="4">
                  <c:v>3.63</c:v>
                </c:pt>
                <c:pt idx="5">
                  <c:v>4.51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A0-4303-9365-A6D34CB8B3FA}"/>
            </c:ext>
          </c:extLst>
        </c:ser>
        <c:ser>
          <c:idx val="5"/>
          <c:order val="5"/>
          <c:tx>
            <c:strRef>
              <c:f>Planilha1!$G$3</c:f>
              <c:strCache>
                <c:ptCount val="1"/>
                <c:pt idx="0">
                  <c:v>1991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Planilha1!$G$4:$G$9</c:f>
              <c:numCache>
                <c:formatCode>General</c:formatCode>
                <c:ptCount val="6"/>
                <c:pt idx="0">
                  <c:v>2.89</c:v>
                </c:pt>
                <c:pt idx="1">
                  <c:v>4.2</c:v>
                </c:pt>
                <c:pt idx="2">
                  <c:v>3.75</c:v>
                </c:pt>
                <c:pt idx="3">
                  <c:v>2.36</c:v>
                </c:pt>
                <c:pt idx="4">
                  <c:v>2.5099999999999998</c:v>
                </c:pt>
                <c:pt idx="5">
                  <c:v>2.69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1A0-4303-9365-A6D34CB8B3FA}"/>
            </c:ext>
          </c:extLst>
        </c:ser>
        <c:ser>
          <c:idx val="6"/>
          <c:order val="6"/>
          <c:tx>
            <c:strRef>
              <c:f>Planilha1!$H$3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Planilha1!$H$4:$H$9</c:f>
              <c:numCache>
                <c:formatCode>General</c:formatCode>
                <c:ptCount val="6"/>
                <c:pt idx="0">
                  <c:v>2.38</c:v>
                </c:pt>
                <c:pt idx="1">
                  <c:v>3.16</c:v>
                </c:pt>
                <c:pt idx="2">
                  <c:v>2.69</c:v>
                </c:pt>
                <c:pt idx="3">
                  <c:v>2.1</c:v>
                </c:pt>
                <c:pt idx="4">
                  <c:v>2.2400000000000002</c:v>
                </c:pt>
                <c:pt idx="5">
                  <c:v>2.25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1A0-4303-9365-A6D34CB8B3FA}"/>
            </c:ext>
          </c:extLst>
        </c:ser>
        <c:ser>
          <c:idx val="7"/>
          <c:order val="7"/>
          <c:tx>
            <c:strRef>
              <c:f>Planilha1!$I$3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9.407337723424292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1A0-4303-9365-A6D34CB8B3FA}"/>
                </c:ext>
              </c:extLst>
            </c:dLbl>
            <c:dLbl>
              <c:idx val="1"/>
              <c:layout>
                <c:manualLayout>
                  <c:x val="9.4073377234242701E-3"/>
                  <c:y val="-6.916854007752797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1A0-4303-9365-A6D34CB8B3FA}"/>
                </c:ext>
              </c:extLst>
            </c:dLbl>
            <c:dLbl>
              <c:idx val="2"/>
              <c:layout>
                <c:manualLayout>
                  <c:x val="1.175917215428033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1A0-4303-9365-A6D34CB8B3FA}"/>
                </c:ext>
              </c:extLst>
            </c:dLbl>
            <c:dLbl>
              <c:idx val="3"/>
              <c:layout>
                <c:manualLayout>
                  <c:x val="7.0555032925682035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61A0-4303-9365-A6D34CB8B3FA}"/>
                </c:ext>
              </c:extLst>
            </c:dLbl>
            <c:dLbl>
              <c:idx val="4"/>
              <c:layout>
                <c:manualLayout>
                  <c:x val="1.175917215428033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61A0-4303-9365-A6D34CB8B3FA}"/>
                </c:ext>
              </c:extLst>
            </c:dLbl>
            <c:dLbl>
              <c:idx val="5"/>
              <c:layout>
                <c:manualLayout>
                  <c:x val="1.411100658513623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61A0-4303-9365-A6D34CB8B3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Planilha1!$I$4:$I$9</c:f>
              <c:numCache>
                <c:formatCode>General</c:formatCode>
                <c:ptCount val="6"/>
                <c:pt idx="0">
                  <c:v>1.9</c:v>
                </c:pt>
                <c:pt idx="1">
                  <c:v>2.4700000000000002</c:v>
                </c:pt>
                <c:pt idx="2">
                  <c:v>2.06</c:v>
                </c:pt>
                <c:pt idx="3">
                  <c:v>1.7</c:v>
                </c:pt>
                <c:pt idx="4">
                  <c:v>1.78</c:v>
                </c:pt>
                <c:pt idx="5">
                  <c:v>1.92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1A0-4303-9365-A6D34CB8B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371944"/>
        <c:axId val="393372272"/>
      </c:barChart>
      <c:catAx>
        <c:axId val="39337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372272"/>
        <c:crosses val="autoZero"/>
        <c:auto val="1"/>
        <c:lblAlgn val="ctr"/>
        <c:lblOffset val="100"/>
        <c:noMultiLvlLbl val="0"/>
      </c:catAx>
      <c:valAx>
        <c:axId val="39337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37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'!$R$51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'!$P$52:$P$70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'!$R$52:$R$70</c:f>
              <c:numCache>
                <c:formatCode>#,##0;[Red]#,##0</c:formatCode>
                <c:ptCount val="19"/>
                <c:pt idx="0">
                  <c:v>-3.768403913504442</c:v>
                </c:pt>
                <c:pt idx="1">
                  <c:v>-3.8854378586458784</c:v>
                </c:pt>
                <c:pt idx="2">
                  <c:v>-3.914380062236956</c:v>
                </c:pt>
                <c:pt idx="3">
                  <c:v>-3.88561859161404</c:v>
                </c:pt>
                <c:pt idx="4">
                  <c:v>-4.0133251301339694</c:v>
                </c:pt>
                <c:pt idx="5">
                  <c:v>-4.0196944092188271</c:v>
                </c:pt>
                <c:pt idx="6">
                  <c:v>-4.1186581736297887</c:v>
                </c:pt>
                <c:pt idx="7">
                  <c:v>-3.8274693171509604</c:v>
                </c:pt>
                <c:pt idx="8">
                  <c:v>-3.6505410895779895</c:v>
                </c:pt>
                <c:pt idx="9">
                  <c:v>-3.4121200276309551</c:v>
                </c:pt>
                <c:pt idx="10">
                  <c:v>-2.9396591201719677</c:v>
                </c:pt>
                <c:pt idx="11">
                  <c:v>-2.3739524654843658</c:v>
                </c:pt>
                <c:pt idx="12">
                  <c:v>-1.953187419090836</c:v>
                </c:pt>
                <c:pt idx="13">
                  <c:v>-1.5009156306097333</c:v>
                </c:pt>
                <c:pt idx="14">
                  <c:v>-1.0755076165858519</c:v>
                </c:pt>
                <c:pt idx="15">
                  <c:v>-0.69599331213231741</c:v>
                </c:pt>
                <c:pt idx="16">
                  <c:v>-0.39290724061142085</c:v>
                </c:pt>
                <c:pt idx="17">
                  <c:v>-0.19455592414001646</c:v>
                </c:pt>
                <c:pt idx="18">
                  <c:v>-0.11143122312843533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D6-43C3-9E20-1945A637DDF4}"/>
            </c:ext>
          </c:extLst>
        </c:ser>
        <c:ser>
          <c:idx val="1"/>
          <c:order val="1"/>
          <c:tx>
            <c:strRef>
              <c:f>'Pirâmides Etárias '!$S$51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'!$P$52:$P$70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'!$S$52:$S$70</c:f>
              <c:numCache>
                <c:formatCode>#,##0</c:formatCode>
                <c:ptCount val="19"/>
                <c:pt idx="0">
                  <c:v>3.598739281600162</c:v>
                </c:pt>
                <c:pt idx="1">
                  <c:v>3.7130840448187845</c:v>
                </c:pt>
                <c:pt idx="2">
                  <c:v>3.7413781025930071</c:v>
                </c:pt>
                <c:pt idx="3">
                  <c:v>3.7203881496010291</c:v>
                </c:pt>
                <c:pt idx="4">
                  <c:v>3.8772799463933554</c:v>
                </c:pt>
                <c:pt idx="5">
                  <c:v>3.939199684502559</c:v>
                </c:pt>
                <c:pt idx="6">
                  <c:v>4.0931997538043046</c:v>
                </c:pt>
                <c:pt idx="7">
                  <c:v>3.9058357553628458</c:v>
                </c:pt>
                <c:pt idx="8">
                  <c:v>3.7618725979653704</c:v>
                </c:pt>
                <c:pt idx="9">
                  <c:v>3.5651603425500502</c:v>
                </c:pt>
                <c:pt idx="10">
                  <c:v>3.08639870989068</c:v>
                </c:pt>
                <c:pt idx="11">
                  <c:v>2.4986800261152906</c:v>
                </c:pt>
                <c:pt idx="12">
                  <c:v>2.0602374257841878</c:v>
                </c:pt>
                <c:pt idx="13">
                  <c:v>1.6268896255038399</c:v>
                </c:pt>
                <c:pt idx="14">
                  <c:v>1.2276972401203257</c:v>
                </c:pt>
                <c:pt idx="15">
                  <c:v>0.85186303282883491</c:v>
                </c:pt>
                <c:pt idx="16">
                  <c:v>0.51662207340351085</c:v>
                </c:pt>
                <c:pt idx="17">
                  <c:v>0.28615637814123246</c:v>
                </c:pt>
                <c:pt idx="18">
                  <c:v>0.19555930372187766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D6-43C3-9E20-1945A637D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29352"/>
        <c:axId val="1"/>
      </c:barChart>
      <c:catAx>
        <c:axId val="3761293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29352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933939023591483E-2"/>
          <c:y val="8.4910745346980607E-2"/>
          <c:w val="0.935241201940199"/>
          <c:h val="0.6704629507140679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'Pirâmides Etárias '!$R$75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'!$P$76:$P$94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'!$R$76:$R$94</c:f>
              <c:numCache>
                <c:formatCode>#,##0;[Red]#,##0</c:formatCode>
                <c:ptCount val="19"/>
                <c:pt idx="0">
                  <c:v>-3.2950112964337275</c:v>
                </c:pt>
                <c:pt idx="1">
                  <c:v>-3.3814047713005024</c:v>
                </c:pt>
                <c:pt idx="2">
                  <c:v>-3.4730426183296137</c:v>
                </c:pt>
                <c:pt idx="3">
                  <c:v>-3.5634527276094912</c:v>
                </c:pt>
                <c:pt idx="4">
                  <c:v>-3.633851334793988</c:v>
                </c:pt>
                <c:pt idx="5">
                  <c:v>-3.6890683726529332</c:v>
                </c:pt>
                <c:pt idx="6">
                  <c:v>-3.6770558624415202</c:v>
                </c:pt>
                <c:pt idx="7">
                  <c:v>-3.6291678580500828</c:v>
                </c:pt>
                <c:pt idx="8">
                  <c:v>-3.7586817262516252</c:v>
                </c:pt>
                <c:pt idx="9">
                  <c:v>-3.7593236398971643</c:v>
                </c:pt>
                <c:pt idx="10">
                  <c:v>-3.7928589537480648</c:v>
                </c:pt>
                <c:pt idx="11">
                  <c:v>-3.4227053706110246</c:v>
                </c:pt>
                <c:pt idx="12">
                  <c:v>-3.1096571732416489</c:v>
                </c:pt>
                <c:pt idx="13">
                  <c:v>-2.7035252650978712</c:v>
                </c:pt>
                <c:pt idx="14">
                  <c:v>-2.083047172800411</c:v>
                </c:pt>
                <c:pt idx="15">
                  <c:v>-1.4149646399063878</c:v>
                </c:pt>
                <c:pt idx="16">
                  <c:v>-0.89721765958035538</c:v>
                </c:pt>
                <c:pt idx="17">
                  <c:v>-0.46983716333498943</c:v>
                </c:pt>
                <c:pt idx="18">
                  <c:v>-0.27705429193434883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56-41BE-8B32-186A9ADEDA73}"/>
            </c:ext>
          </c:extLst>
        </c:ser>
        <c:ser>
          <c:idx val="1"/>
          <c:order val="1"/>
          <c:tx>
            <c:strRef>
              <c:f>'Pirâmides Etárias '!$S$75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'!$P$76:$P$94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'!$S$76:$S$94</c:f>
              <c:numCache>
                <c:formatCode>#,##0</c:formatCode>
                <c:ptCount val="19"/>
                <c:pt idx="0">
                  <c:v>3.1447318334075791</c:v>
                </c:pt>
                <c:pt idx="1">
                  <c:v>3.2282927864112745</c:v>
                </c:pt>
                <c:pt idx="2">
                  <c:v>3.3149168516167373</c:v>
                </c:pt>
                <c:pt idx="3">
                  <c:v>3.4033264339042089</c:v>
                </c:pt>
                <c:pt idx="4">
                  <c:v>3.4895952653446654</c:v>
                </c:pt>
                <c:pt idx="5">
                  <c:v>3.5729972979798039</c:v>
                </c:pt>
                <c:pt idx="6">
                  <c:v>3.5901762782121045</c:v>
                </c:pt>
                <c:pt idx="7">
                  <c:v>3.5734086212866543</c:v>
                </c:pt>
                <c:pt idx="8">
                  <c:v>3.7422755352624981</c:v>
                </c:pt>
                <c:pt idx="9">
                  <c:v>3.7988636508109428</c:v>
                </c:pt>
                <c:pt idx="10">
                  <c:v>3.9059666309604801</c:v>
                </c:pt>
                <c:pt idx="11">
                  <c:v>3.6549223060130731</c:v>
                </c:pt>
                <c:pt idx="12">
                  <c:v>3.413593936147167</c:v>
                </c:pt>
                <c:pt idx="13">
                  <c:v>3.090287584791807</c:v>
                </c:pt>
                <c:pt idx="14">
                  <c:v>2.4907371237731657</c:v>
                </c:pt>
                <c:pt idx="15">
                  <c:v>1.799991299888843</c:v>
                </c:pt>
                <c:pt idx="16">
                  <c:v>1.2398935993855578</c:v>
                </c:pt>
                <c:pt idx="17">
                  <c:v>0.74230146109517203</c:v>
                </c:pt>
                <c:pt idx="18">
                  <c:v>0.56281181111136314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56-41BE-8B32-186A9ADED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30336"/>
        <c:axId val="1"/>
      </c:barChart>
      <c:catAx>
        <c:axId val="3761303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30336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Brasil!$AB$5</c:f>
              <c:strCache>
                <c:ptCount val="1"/>
                <c:pt idx="0">
                  <c:v>Jovens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155-4F29-95F6-2297FDE14DC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155-4F29-95F6-2297FDE14DC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Brasil!$A$6:$A$56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Brasil!$AB$6:$AB$56</c:f>
              <c:numCache>
                <c:formatCode>0.00</c:formatCode>
                <c:ptCount val="51"/>
                <c:pt idx="0">
                  <c:v>36.317920175515056</c:v>
                </c:pt>
                <c:pt idx="1">
                  <c:v>35.372288114192862</c:v>
                </c:pt>
                <c:pt idx="2">
                  <c:v>34.446983917545353</c:v>
                </c:pt>
                <c:pt idx="3">
                  <c:v>33.55731646726457</c:v>
                </c:pt>
                <c:pt idx="4">
                  <c:v>32.780004006853943</c:v>
                </c:pt>
                <c:pt idx="5">
                  <c:v>32.152801969853186</c:v>
                </c:pt>
                <c:pt idx="6">
                  <c:v>31.567376955358501</c:v>
                </c:pt>
                <c:pt idx="7">
                  <c:v>31.105582598884851</c:v>
                </c:pt>
                <c:pt idx="8">
                  <c:v>30.74572751477487</c:v>
                </c:pt>
                <c:pt idx="9">
                  <c:v>30.419766763776408</c:v>
                </c:pt>
                <c:pt idx="10">
                  <c:v>30.108497667114577</c:v>
                </c:pt>
                <c:pt idx="11">
                  <c:v>29.833299394782838</c:v>
                </c:pt>
                <c:pt idx="12">
                  <c:v>29.625300290990339</c:v>
                </c:pt>
                <c:pt idx="13">
                  <c:v>29.434295234129035</c:v>
                </c:pt>
                <c:pt idx="14">
                  <c:v>29.255728930099497</c:v>
                </c:pt>
                <c:pt idx="15">
                  <c:v>29.107787670400395</c:v>
                </c:pt>
                <c:pt idx="16">
                  <c:v>28.945778914211573</c:v>
                </c:pt>
                <c:pt idx="17">
                  <c:v>28.76782735786179</c:v>
                </c:pt>
                <c:pt idx="18">
                  <c:v>28.587867012231232</c:v>
                </c:pt>
                <c:pt idx="19">
                  <c:v>28.364760402803665</c:v>
                </c:pt>
                <c:pt idx="20">
                  <c:v>28.08072311883123</c:v>
                </c:pt>
                <c:pt idx="21">
                  <c:v>27.838830814175939</c:v>
                </c:pt>
                <c:pt idx="22">
                  <c:v>27.606369652431582</c:v>
                </c:pt>
                <c:pt idx="23">
                  <c:v>27.319743871456218</c:v>
                </c:pt>
                <c:pt idx="24">
                  <c:v>27.036375297302349</c:v>
                </c:pt>
                <c:pt idx="25">
                  <c:v>26.757353778562919</c:v>
                </c:pt>
                <c:pt idx="26">
                  <c:v>26.484784353476957</c:v>
                </c:pt>
                <c:pt idx="27">
                  <c:v>26.220930499130642</c:v>
                </c:pt>
                <c:pt idx="28">
                  <c:v>25.971496324131959</c:v>
                </c:pt>
                <c:pt idx="29">
                  <c:v>25.741915150929344</c:v>
                </c:pt>
                <c:pt idx="30">
                  <c:v>25.535717203243102</c:v>
                </c:pt>
                <c:pt idx="31">
                  <c:v>25.352659529764004</c:v>
                </c:pt>
                <c:pt idx="32">
                  <c:v>25.193243396969326</c:v>
                </c:pt>
                <c:pt idx="33">
                  <c:v>25.057626539654049</c:v>
                </c:pt>
                <c:pt idx="34">
                  <c:v>24.943919950693846</c:v>
                </c:pt>
                <c:pt idx="35">
                  <c:v>24.849730019327783</c:v>
                </c:pt>
                <c:pt idx="36">
                  <c:v>24.774804476601876</c:v>
                </c:pt>
                <c:pt idx="37">
                  <c:v>24.719722225847086</c:v>
                </c:pt>
                <c:pt idx="38">
                  <c:v>24.68152339027494</c:v>
                </c:pt>
                <c:pt idx="39">
                  <c:v>24.65539003920216</c:v>
                </c:pt>
                <c:pt idx="40">
                  <c:v>24.637358550426914</c:v>
                </c:pt>
                <c:pt idx="41">
                  <c:v>24.626443724018593</c:v>
                </c:pt>
                <c:pt idx="42">
                  <c:v>24.621945603589253</c:v>
                </c:pt>
                <c:pt idx="43">
                  <c:v>24.621653703956706</c:v>
                </c:pt>
                <c:pt idx="44">
                  <c:v>24.623448818396206</c:v>
                </c:pt>
                <c:pt idx="45">
                  <c:v>24.625612097528688</c:v>
                </c:pt>
                <c:pt idx="46">
                  <c:v>24.626552506636244</c:v>
                </c:pt>
                <c:pt idx="47">
                  <c:v>24.624042805928799</c:v>
                </c:pt>
                <c:pt idx="48">
                  <c:v>24.618858447336574</c:v>
                </c:pt>
                <c:pt idx="49">
                  <c:v>24.614379523763965</c:v>
                </c:pt>
                <c:pt idx="50">
                  <c:v>24.612562425170303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55-4F29-95F6-2297FDE14DC1}"/>
            </c:ext>
          </c:extLst>
        </c:ser>
        <c:ser>
          <c:idx val="1"/>
          <c:order val="1"/>
          <c:tx>
            <c:strRef>
              <c:f>Brasil!$AC$5</c:f>
              <c:strCache>
                <c:ptCount val="1"/>
                <c:pt idx="0">
                  <c:v>Idosos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155-4F29-95F6-2297FDE14DC1}"/>
                </c:ext>
              </c:extLst>
            </c:dLbl>
            <c:dLbl>
              <c:idx val="29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155-4F29-95F6-2297FDE14DC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155-4F29-95F6-2297FDE14DC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Brasil!$A$6:$A$56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Brasil!$AC$6:$AC$56</c:f>
              <c:numCache>
                <c:formatCode>0.00</c:formatCode>
                <c:ptCount val="51"/>
                <c:pt idx="0">
                  <c:v>10.770809037029256</c:v>
                </c:pt>
                <c:pt idx="1">
                  <c:v>10.988988369241527</c:v>
                </c:pt>
                <c:pt idx="2">
                  <c:v>11.23573305754579</c:v>
                </c:pt>
                <c:pt idx="3">
                  <c:v>11.50938598177275</c:v>
                </c:pt>
                <c:pt idx="4">
                  <c:v>11.809034344615961</c:v>
                </c:pt>
                <c:pt idx="5">
                  <c:v>12.134426160433627</c:v>
                </c:pt>
                <c:pt idx="6">
                  <c:v>12.486278039680814</c:v>
                </c:pt>
                <c:pt idx="7">
                  <c:v>12.871163350481792</c:v>
                </c:pt>
                <c:pt idx="8">
                  <c:v>13.282590098409877</c:v>
                </c:pt>
                <c:pt idx="9">
                  <c:v>13.720173461399119</c:v>
                </c:pt>
                <c:pt idx="10">
                  <c:v>14.18225799089174</c:v>
                </c:pt>
                <c:pt idx="11">
                  <c:v>14.671520218095493</c:v>
                </c:pt>
                <c:pt idx="12">
                  <c:v>15.192081612439763</c:v>
                </c:pt>
                <c:pt idx="13">
                  <c:v>15.737503049383244</c:v>
                </c:pt>
                <c:pt idx="14">
                  <c:v>16.305962853134165</c:v>
                </c:pt>
                <c:pt idx="15">
                  <c:v>16.898166354805376</c:v>
                </c:pt>
                <c:pt idx="16">
                  <c:v>17.508218291259631</c:v>
                </c:pt>
                <c:pt idx="17">
                  <c:v>18.135721044218588</c:v>
                </c:pt>
                <c:pt idx="18">
                  <c:v>18.777680914201071</c:v>
                </c:pt>
                <c:pt idx="19">
                  <c:v>19.421563001545838</c:v>
                </c:pt>
                <c:pt idx="20">
                  <c:v>20.059256924329862</c:v>
                </c:pt>
                <c:pt idx="21">
                  <c:v>20.70754389181684</c:v>
                </c:pt>
                <c:pt idx="22">
                  <c:v>21.363489973941583</c:v>
                </c:pt>
                <c:pt idx="23">
                  <c:v>22.010803191726151</c:v>
                </c:pt>
                <c:pt idx="24">
                  <c:v>22.651515882239988</c:v>
                </c:pt>
                <c:pt idx="25">
                  <c:v>23.281988605717491</c:v>
                </c:pt>
                <c:pt idx="26">
                  <c:v>23.9038579797529</c:v>
                </c:pt>
                <c:pt idx="27">
                  <c:v>24.515966033212656</c:v>
                </c:pt>
                <c:pt idx="28">
                  <c:v>25.132205347093915</c:v>
                </c:pt>
                <c:pt idx="29">
                  <c:v>25.774100121661991</c:v>
                </c:pt>
                <c:pt idx="30">
                  <c:v>26.455663168165838</c:v>
                </c:pt>
                <c:pt idx="31">
                  <c:v>27.175035466737832</c:v>
                </c:pt>
                <c:pt idx="32">
                  <c:v>27.932800858222109</c:v>
                </c:pt>
                <c:pt idx="33">
                  <c:v>28.726352319991904</c:v>
                </c:pt>
                <c:pt idx="34">
                  <c:v>29.549535686231245</c:v>
                </c:pt>
                <c:pt idx="35">
                  <c:v>30.39685559071221</c:v>
                </c:pt>
                <c:pt idx="36">
                  <c:v>31.268730832257031</c:v>
                </c:pt>
                <c:pt idx="37">
                  <c:v>32.166029909192943</c:v>
                </c:pt>
                <c:pt idx="38">
                  <c:v>33.077380937803476</c:v>
                </c:pt>
                <c:pt idx="39">
                  <c:v>33.986007977695152</c:v>
                </c:pt>
                <c:pt idx="40">
                  <c:v>34.879623725734525</c:v>
                </c:pt>
                <c:pt idx="41">
                  <c:v>35.756899333979462</c:v>
                </c:pt>
                <c:pt idx="42">
                  <c:v>36.615644703340841</c:v>
                </c:pt>
                <c:pt idx="43">
                  <c:v>37.452186993116563</c:v>
                </c:pt>
                <c:pt idx="44">
                  <c:v>38.264023341009128</c:v>
                </c:pt>
                <c:pt idx="45">
                  <c:v>39.049734110372874</c:v>
                </c:pt>
                <c:pt idx="46">
                  <c:v>39.805410858979336</c:v>
                </c:pt>
                <c:pt idx="47">
                  <c:v>40.523708495602385</c:v>
                </c:pt>
                <c:pt idx="48">
                  <c:v>41.21825132852328</c:v>
                </c:pt>
                <c:pt idx="49">
                  <c:v>41.913119559444304</c:v>
                </c:pt>
                <c:pt idx="50">
                  <c:v>42.62205245465136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155-4F29-95F6-2297FDE14DC1}"/>
            </c:ext>
          </c:extLst>
        </c:ser>
        <c:ser>
          <c:idx val="2"/>
          <c:order val="2"/>
          <c:tx>
            <c:strRef>
              <c:f>Brasil!$AD$5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55-4F29-95F6-2297FDE14DC1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96A-4621-A06A-1BDD4A7EE38C}"/>
                </c:ext>
              </c:extLst>
            </c:dLbl>
            <c:dLbl>
              <c:idx val="49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155-4F29-95F6-2297FDE14DC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Brasil!$A$6:$A$56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Brasil!$AD$6:$AD$56</c:f>
              <c:numCache>
                <c:formatCode>0.00</c:formatCode>
                <c:ptCount val="51"/>
                <c:pt idx="0">
                  <c:v>47.088729212544308</c:v>
                </c:pt>
                <c:pt idx="1">
                  <c:v>46.361276483434388</c:v>
                </c:pt>
                <c:pt idx="2">
                  <c:v>45.682716975091147</c:v>
                </c:pt>
                <c:pt idx="3">
                  <c:v>45.066702449037322</c:v>
                </c:pt>
                <c:pt idx="4">
                  <c:v>44.589038351469902</c:v>
                </c:pt>
                <c:pt idx="5">
                  <c:v>44.287228130286813</c:v>
                </c:pt>
                <c:pt idx="6">
                  <c:v>44.053654995039317</c:v>
                </c:pt>
                <c:pt idx="7">
                  <c:v>43.976745949366645</c:v>
                </c:pt>
                <c:pt idx="8">
                  <c:v>44.028317613184747</c:v>
                </c:pt>
                <c:pt idx="9">
                  <c:v>44.139940225175522</c:v>
                </c:pt>
                <c:pt idx="10">
                  <c:v>44.290755658006319</c:v>
                </c:pt>
                <c:pt idx="11">
                  <c:v>44.504819612878329</c:v>
                </c:pt>
                <c:pt idx="12">
                  <c:v>44.817381903430103</c:v>
                </c:pt>
                <c:pt idx="13">
                  <c:v>45.171798283512281</c:v>
                </c:pt>
                <c:pt idx="14">
                  <c:v>45.561691783233663</c:v>
                </c:pt>
                <c:pt idx="15">
                  <c:v>46.005954025205774</c:v>
                </c:pt>
                <c:pt idx="16">
                  <c:v>46.453997205471204</c:v>
                </c:pt>
                <c:pt idx="17">
                  <c:v>46.903548402080382</c:v>
                </c:pt>
                <c:pt idx="18">
                  <c:v>47.365547926432299</c:v>
                </c:pt>
                <c:pt idx="19">
                  <c:v>47.786323404349503</c:v>
                </c:pt>
                <c:pt idx="20">
                  <c:v>48.139980043161096</c:v>
                </c:pt>
                <c:pt idx="21">
                  <c:v>48.546374705992775</c:v>
                </c:pt>
                <c:pt idx="22">
                  <c:v>48.969859626373164</c:v>
                </c:pt>
                <c:pt idx="23">
                  <c:v>49.330547063182365</c:v>
                </c:pt>
                <c:pt idx="24">
                  <c:v>49.687891179542341</c:v>
                </c:pt>
                <c:pt idx="25">
                  <c:v>50.03934238428041</c:v>
                </c:pt>
                <c:pt idx="26">
                  <c:v>50.388642333229853</c:v>
                </c:pt>
                <c:pt idx="27">
                  <c:v>50.736896532343295</c:v>
                </c:pt>
                <c:pt idx="28">
                  <c:v>51.103701671225878</c:v>
                </c:pt>
                <c:pt idx="29">
                  <c:v>51.516015272591332</c:v>
                </c:pt>
                <c:pt idx="30">
                  <c:v>51.991380371408944</c:v>
                </c:pt>
                <c:pt idx="31">
                  <c:v>52.527694996501836</c:v>
                </c:pt>
                <c:pt idx="32">
                  <c:v>53.126044255191431</c:v>
                </c:pt>
                <c:pt idx="33">
                  <c:v>53.783978859645956</c:v>
                </c:pt>
                <c:pt idx="34">
                  <c:v>54.493455636925091</c:v>
                </c:pt>
                <c:pt idx="35">
                  <c:v>55.246585610039993</c:v>
                </c:pt>
                <c:pt idx="36">
                  <c:v>56.043535308858907</c:v>
                </c:pt>
                <c:pt idx="37">
                  <c:v>56.885752135040029</c:v>
                </c:pt>
                <c:pt idx="38">
                  <c:v>57.758904328078415</c:v>
                </c:pt>
                <c:pt idx="39">
                  <c:v>58.641398016897313</c:v>
                </c:pt>
                <c:pt idx="40">
                  <c:v>59.516982276161436</c:v>
                </c:pt>
                <c:pt idx="41">
                  <c:v>60.383343057998054</c:v>
                </c:pt>
                <c:pt idx="42">
                  <c:v>61.237590306930102</c:v>
                </c:pt>
                <c:pt idx="43">
                  <c:v>62.073840697073273</c:v>
                </c:pt>
                <c:pt idx="44">
                  <c:v>62.887472159405334</c:v>
                </c:pt>
                <c:pt idx="45">
                  <c:v>63.675346207901562</c:v>
                </c:pt>
                <c:pt idx="46">
                  <c:v>64.431963365615573</c:v>
                </c:pt>
                <c:pt idx="47">
                  <c:v>65.147751301531187</c:v>
                </c:pt>
                <c:pt idx="48">
                  <c:v>65.837109775859858</c:v>
                </c:pt>
                <c:pt idx="49">
                  <c:v>66.527499083208269</c:v>
                </c:pt>
                <c:pt idx="50">
                  <c:v>67.234614879821663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155-4F29-95F6-2297FDE14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334208"/>
        <c:axId val="1"/>
      </c:lineChart>
      <c:catAx>
        <c:axId val="42933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334208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'AM Legal'!$G$5</c:f>
              <c:strCache>
                <c:ptCount val="1"/>
                <c:pt idx="0">
                  <c:v>Jovens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A09-47D9-AC0D-8E7AC202028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A09-47D9-AC0D-8E7AC202028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'AM Legal'!$A$6:$A$56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'AM Legal'!$G$6:$G$56</c:f>
              <c:numCache>
                <c:formatCode>0.00</c:formatCode>
                <c:ptCount val="51"/>
                <c:pt idx="0">
                  <c:v>48.787730847515817</c:v>
                </c:pt>
                <c:pt idx="1">
                  <c:v>47.418377549630627</c:v>
                </c:pt>
                <c:pt idx="2">
                  <c:v>46.020323252006165</c:v>
                </c:pt>
                <c:pt idx="3">
                  <c:v>44.638761803080889</c:v>
                </c:pt>
                <c:pt idx="4">
                  <c:v>43.405735978133777</c:v>
                </c:pt>
                <c:pt idx="5">
                  <c:v>42.325798076501435</c:v>
                </c:pt>
                <c:pt idx="6">
                  <c:v>41.302067582042753</c:v>
                </c:pt>
                <c:pt idx="7">
                  <c:v>40.419737102616068</c:v>
                </c:pt>
                <c:pt idx="8">
                  <c:v>39.582980202135403</c:v>
                </c:pt>
                <c:pt idx="9">
                  <c:v>38.775491674010794</c:v>
                </c:pt>
                <c:pt idx="10">
                  <c:v>37.997790543548504</c:v>
                </c:pt>
                <c:pt idx="11">
                  <c:v>37.227525919666682</c:v>
                </c:pt>
                <c:pt idx="12">
                  <c:v>36.546981005688238</c:v>
                </c:pt>
                <c:pt idx="13">
                  <c:v>35.920521523141602</c:v>
                </c:pt>
                <c:pt idx="14">
                  <c:v>35.369305712304723</c:v>
                </c:pt>
                <c:pt idx="15">
                  <c:v>34.92743039168024</c:v>
                </c:pt>
                <c:pt idx="16">
                  <c:v>34.517370792678072</c:v>
                </c:pt>
                <c:pt idx="17">
                  <c:v>34.138497050549617</c:v>
                </c:pt>
                <c:pt idx="18">
                  <c:v>33.784891733061528</c:v>
                </c:pt>
                <c:pt idx="19">
                  <c:v>33.372761348371355</c:v>
                </c:pt>
                <c:pt idx="20">
                  <c:v>32.926648175232543</c:v>
                </c:pt>
                <c:pt idx="21">
                  <c:v>32.571510242466395</c:v>
                </c:pt>
                <c:pt idx="22">
                  <c:v>32.22145263553999</c:v>
                </c:pt>
                <c:pt idx="23">
                  <c:v>31.806523171159263</c:v>
                </c:pt>
                <c:pt idx="24">
                  <c:v>31.404461213671482</c:v>
                </c:pt>
                <c:pt idx="25">
                  <c:v>31.014282644396385</c:v>
                </c:pt>
                <c:pt idx="26">
                  <c:v>30.636423817290876</c:v>
                </c:pt>
                <c:pt idx="27">
                  <c:v>30.271751839504901</c:v>
                </c:pt>
                <c:pt idx="28">
                  <c:v>29.924400033702987</c:v>
                </c:pt>
                <c:pt idx="29">
                  <c:v>29.5980628490702</c:v>
                </c:pt>
                <c:pt idx="30">
                  <c:v>29.296290066025616</c:v>
                </c:pt>
                <c:pt idx="31">
                  <c:v>29.019175952152359</c:v>
                </c:pt>
                <c:pt idx="32">
                  <c:v>28.766823934243046</c:v>
                </c:pt>
                <c:pt idx="33">
                  <c:v>28.538952647950129</c:v>
                </c:pt>
                <c:pt idx="34">
                  <c:v>28.333053508189661</c:v>
                </c:pt>
                <c:pt idx="35">
                  <c:v>28.146588505997137</c:v>
                </c:pt>
                <c:pt idx="36">
                  <c:v>27.979878907002526</c:v>
                </c:pt>
                <c:pt idx="37">
                  <c:v>27.834054817524972</c:v>
                </c:pt>
                <c:pt idx="38">
                  <c:v>27.705591276447471</c:v>
                </c:pt>
                <c:pt idx="39">
                  <c:v>27.589628307845178</c:v>
                </c:pt>
                <c:pt idx="40">
                  <c:v>27.482875244976235</c:v>
                </c:pt>
                <c:pt idx="41">
                  <c:v>27.384952037297587</c:v>
                </c:pt>
                <c:pt idx="42">
                  <c:v>27.295340409409686</c:v>
                </c:pt>
                <c:pt idx="43">
                  <c:v>27.213090029699643</c:v>
                </c:pt>
                <c:pt idx="44">
                  <c:v>27.137321726504499</c:v>
                </c:pt>
                <c:pt idx="45">
                  <c:v>27.067147666671154</c:v>
                </c:pt>
                <c:pt idx="46">
                  <c:v>27.001821402582511</c:v>
                </c:pt>
                <c:pt idx="47">
                  <c:v>26.940098759267901</c:v>
                </c:pt>
                <c:pt idx="48">
                  <c:v>26.882845234678999</c:v>
                </c:pt>
                <c:pt idx="49">
                  <c:v>26.832840413511779</c:v>
                </c:pt>
                <c:pt idx="50">
                  <c:v>26.791538338384086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09-47D9-AC0D-8E7AC2020281}"/>
            </c:ext>
          </c:extLst>
        </c:ser>
        <c:ser>
          <c:idx val="1"/>
          <c:order val="1"/>
          <c:tx>
            <c:strRef>
              <c:f>'AM Legal'!$H$5</c:f>
              <c:strCache>
                <c:ptCount val="1"/>
                <c:pt idx="0">
                  <c:v>Idosos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A09-47D9-AC0D-8E7AC2020281}"/>
                </c:ext>
              </c:extLst>
            </c:dLbl>
            <c:dLbl>
              <c:idx val="4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A09-47D9-AC0D-8E7AC202028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A09-47D9-AC0D-8E7AC202028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'AM Legal'!$A$6:$A$56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'AM Legal'!$H$6:$H$56</c:f>
              <c:numCache>
                <c:formatCode>0.00</c:formatCode>
                <c:ptCount val="51"/>
                <c:pt idx="0">
                  <c:v>7.7809449612317865</c:v>
                </c:pt>
                <c:pt idx="1">
                  <c:v>7.8603179384508675</c:v>
                </c:pt>
                <c:pt idx="2">
                  <c:v>7.9485765465109797</c:v>
                </c:pt>
                <c:pt idx="3">
                  <c:v>8.0500512023877242</c:v>
                </c:pt>
                <c:pt idx="4">
                  <c:v>8.1713186688683592</c:v>
                </c:pt>
                <c:pt idx="5">
                  <c:v>8.3157924630602587</c:v>
                </c:pt>
                <c:pt idx="6">
                  <c:v>8.4847266928325968</c:v>
                </c:pt>
                <c:pt idx="7">
                  <c:v>8.6780636490231871</c:v>
                </c:pt>
                <c:pt idx="8">
                  <c:v>8.8839399868293292</c:v>
                </c:pt>
                <c:pt idx="9">
                  <c:v>9.1049590297375094</c:v>
                </c:pt>
                <c:pt idx="10">
                  <c:v>9.3398968635499564</c:v>
                </c:pt>
                <c:pt idx="11">
                  <c:v>9.5888061549418317</c:v>
                </c:pt>
                <c:pt idx="12">
                  <c:v>9.8585973307155523</c:v>
                </c:pt>
                <c:pt idx="13">
                  <c:v>10.146423361748717</c:v>
                </c:pt>
                <c:pt idx="14">
                  <c:v>10.452461686844957</c:v>
                </c:pt>
                <c:pt idx="15">
                  <c:v>10.778853785564149</c:v>
                </c:pt>
                <c:pt idx="16">
                  <c:v>11.120427342682888</c:v>
                </c:pt>
                <c:pt idx="17">
                  <c:v>11.47773735488291</c:v>
                </c:pt>
                <c:pt idx="18">
                  <c:v>11.851065241062823</c:v>
                </c:pt>
                <c:pt idx="19">
                  <c:v>12.233933480118145</c:v>
                </c:pt>
                <c:pt idx="20">
                  <c:v>12.628508951007374</c:v>
                </c:pt>
                <c:pt idx="21">
                  <c:v>13.047755865268451</c:v>
                </c:pt>
                <c:pt idx="22">
                  <c:v>13.486196043624288</c:v>
                </c:pt>
                <c:pt idx="23">
                  <c:v>13.932713165127733</c:v>
                </c:pt>
                <c:pt idx="24">
                  <c:v>14.389418981904095</c:v>
                </c:pt>
                <c:pt idx="25">
                  <c:v>14.853207497586308</c:v>
                </c:pt>
                <c:pt idx="26">
                  <c:v>15.325717932371555</c:v>
                </c:pt>
                <c:pt idx="27">
                  <c:v>15.806292112833841</c:v>
                </c:pt>
                <c:pt idx="28">
                  <c:v>16.303721992782449</c:v>
                </c:pt>
                <c:pt idx="29">
                  <c:v>16.830884854078558</c:v>
                </c:pt>
                <c:pt idx="30">
                  <c:v>17.39607955125182</c:v>
                </c:pt>
                <c:pt idx="31">
                  <c:v>17.997158485308056</c:v>
                </c:pt>
                <c:pt idx="32">
                  <c:v>18.634000230958982</c:v>
                </c:pt>
                <c:pt idx="33">
                  <c:v>19.304550290743176</c:v>
                </c:pt>
                <c:pt idx="34">
                  <c:v>20.004322806171587</c:v>
                </c:pt>
                <c:pt idx="35">
                  <c:v>20.729315945709992</c:v>
                </c:pt>
                <c:pt idx="36">
                  <c:v>21.478405950511132</c:v>
                </c:pt>
                <c:pt idx="37">
                  <c:v>22.251616737678148</c:v>
                </c:pt>
                <c:pt idx="38">
                  <c:v>23.040676546362683</c:v>
                </c:pt>
                <c:pt idx="39">
                  <c:v>23.833307808141747</c:v>
                </c:pt>
                <c:pt idx="40">
                  <c:v>24.620996710366843</c:v>
                </c:pt>
                <c:pt idx="41">
                  <c:v>25.400925653039259</c:v>
                </c:pt>
                <c:pt idx="42">
                  <c:v>26.169605067640788</c:v>
                </c:pt>
                <c:pt idx="43">
                  <c:v>26.927169916832817</c:v>
                </c:pt>
                <c:pt idx="44">
                  <c:v>27.675306411238971</c:v>
                </c:pt>
                <c:pt idx="45">
                  <c:v>28.414863249066276</c:v>
                </c:pt>
                <c:pt idx="46">
                  <c:v>29.144403649598527</c:v>
                </c:pt>
                <c:pt idx="47">
                  <c:v>29.860323225159629</c:v>
                </c:pt>
                <c:pt idx="48">
                  <c:v>30.570429865969317</c:v>
                </c:pt>
                <c:pt idx="49">
                  <c:v>31.289635166563201</c:v>
                </c:pt>
                <c:pt idx="50">
                  <c:v>32.026683089821503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A09-47D9-AC0D-8E7AC2020281}"/>
            </c:ext>
          </c:extLst>
        </c:ser>
        <c:ser>
          <c:idx val="2"/>
          <c:order val="2"/>
          <c:tx>
            <c:strRef>
              <c:f>'AM Legal'!$I$5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numFmt formatCode="#,##0.00" sourceLinked="0"/>
              <c:spPr>
                <a:noFill/>
                <a:ln w="25400">
                  <a:noFill/>
                </a:ln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A09-47D9-AC0D-8E7AC2020281}"/>
                </c:ext>
              </c:extLst>
            </c:dLbl>
            <c:dLbl>
              <c:idx val="2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A09-47D9-AC0D-8E7AC2020281}"/>
                </c:ext>
              </c:extLst>
            </c:dLbl>
            <c:dLbl>
              <c:idx val="50"/>
              <c:numFmt formatCode="#,##0.00" sourceLinked="0"/>
              <c:spPr>
                <a:noFill/>
                <a:ln w="25400">
                  <a:noFill/>
                </a:ln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A09-47D9-AC0D-8E7AC202028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'AM Legal'!$I$6:$I$56</c:f>
              <c:numCache>
                <c:formatCode>0.00</c:formatCode>
                <c:ptCount val="51"/>
                <c:pt idx="0">
                  <c:v>56.568675808747606</c:v>
                </c:pt>
                <c:pt idx="1">
                  <c:v>55.278695488081496</c:v>
                </c:pt>
                <c:pt idx="2">
                  <c:v>53.968899798517143</c:v>
                </c:pt>
                <c:pt idx="3">
                  <c:v>52.688813005468617</c:v>
                </c:pt>
                <c:pt idx="4">
                  <c:v>51.577054647002129</c:v>
                </c:pt>
                <c:pt idx="5">
                  <c:v>50.641590539561697</c:v>
                </c:pt>
                <c:pt idx="6">
                  <c:v>49.786794274875355</c:v>
                </c:pt>
                <c:pt idx="7">
                  <c:v>49.097800751639255</c:v>
                </c:pt>
                <c:pt idx="8">
                  <c:v>48.466920188964728</c:v>
                </c:pt>
                <c:pt idx="9">
                  <c:v>47.880450703748309</c:v>
                </c:pt>
                <c:pt idx="10">
                  <c:v>47.337687407098464</c:v>
                </c:pt>
                <c:pt idx="11">
                  <c:v>46.816332074608518</c:v>
                </c:pt>
                <c:pt idx="12">
                  <c:v>46.405578336403799</c:v>
                </c:pt>
                <c:pt idx="13">
                  <c:v>46.066944884890319</c:v>
                </c:pt>
                <c:pt idx="14">
                  <c:v>45.821767399149685</c:v>
                </c:pt>
                <c:pt idx="15">
                  <c:v>45.706284177244392</c:v>
                </c:pt>
                <c:pt idx="16">
                  <c:v>45.63779813536096</c:v>
                </c:pt>
                <c:pt idx="17">
                  <c:v>45.616234405432522</c:v>
                </c:pt>
                <c:pt idx="18">
                  <c:v>45.635956974124362</c:v>
                </c:pt>
                <c:pt idx="19">
                  <c:v>45.606694828489502</c:v>
                </c:pt>
                <c:pt idx="20">
                  <c:v>45.555157126239912</c:v>
                </c:pt>
                <c:pt idx="21">
                  <c:v>45.619266107734845</c:v>
                </c:pt>
                <c:pt idx="22">
                  <c:v>45.707648679164279</c:v>
                </c:pt>
                <c:pt idx="23">
                  <c:v>45.739236336286993</c:v>
                </c:pt>
                <c:pt idx="24">
                  <c:v>45.793880195575575</c:v>
                </c:pt>
                <c:pt idx="25">
                  <c:v>45.867490141982699</c:v>
                </c:pt>
                <c:pt idx="26">
                  <c:v>45.962141749662436</c:v>
                </c:pt>
                <c:pt idx="27">
                  <c:v>46.078043952338746</c:v>
                </c:pt>
                <c:pt idx="28">
                  <c:v>46.228122026485437</c:v>
                </c:pt>
                <c:pt idx="29">
                  <c:v>46.428947703148758</c:v>
                </c:pt>
                <c:pt idx="30">
                  <c:v>46.692369617277436</c:v>
                </c:pt>
                <c:pt idx="31">
                  <c:v>47.016334437460415</c:v>
                </c:pt>
                <c:pt idx="32">
                  <c:v>47.400824165202025</c:v>
                </c:pt>
                <c:pt idx="33">
                  <c:v>47.843502938693305</c:v>
                </c:pt>
                <c:pt idx="34">
                  <c:v>48.337376314361244</c:v>
                </c:pt>
                <c:pt idx="35">
                  <c:v>48.875904451707129</c:v>
                </c:pt>
                <c:pt idx="36">
                  <c:v>49.458284857513654</c:v>
                </c:pt>
                <c:pt idx="37">
                  <c:v>50.085671555203128</c:v>
                </c:pt>
                <c:pt idx="38">
                  <c:v>50.746267822810154</c:v>
                </c:pt>
                <c:pt idx="39">
                  <c:v>51.422936115986928</c:v>
                </c:pt>
                <c:pt idx="40">
                  <c:v>52.103871955343074</c:v>
                </c:pt>
                <c:pt idx="41">
                  <c:v>52.785877690336847</c:v>
                </c:pt>
                <c:pt idx="42">
                  <c:v>53.464945477050478</c:v>
                </c:pt>
                <c:pt idx="43">
                  <c:v>54.140259946532453</c:v>
                </c:pt>
                <c:pt idx="44">
                  <c:v>54.812628137743467</c:v>
                </c:pt>
                <c:pt idx="45">
                  <c:v>55.482010915737433</c:v>
                </c:pt>
                <c:pt idx="46">
                  <c:v>56.14622505218103</c:v>
                </c:pt>
                <c:pt idx="47">
                  <c:v>56.80042198442753</c:v>
                </c:pt>
                <c:pt idx="48">
                  <c:v>57.453275100648305</c:v>
                </c:pt>
                <c:pt idx="49">
                  <c:v>58.122475580074983</c:v>
                </c:pt>
                <c:pt idx="50">
                  <c:v>58.81822142820559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A09-47D9-AC0D-8E7AC2020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331584"/>
        <c:axId val="1"/>
      </c:lineChart>
      <c:catAx>
        <c:axId val="42933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33158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'Esperanca de vida'!$B$2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03-4FB7-9711-0003923FB6AD}"/>
                </c:ext>
              </c:extLst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03-4FB7-9711-0003923FB6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'Esperanca de vida'!$A$3:$A$11</c:f>
              <c:numCache>
                <c:formatCode>General</c:formatCode>
                <c:ptCount val="9"/>
                <c:pt idx="0">
                  <c:v>1940</c:v>
                </c:pt>
                <c:pt idx="1">
                  <c:v>1950</c:v>
                </c:pt>
                <c:pt idx="2">
                  <c:v>1960</c:v>
                </c:pt>
                <c:pt idx="3">
                  <c:v>1970</c:v>
                </c:pt>
                <c:pt idx="4">
                  <c:v>1980</c:v>
                </c:pt>
                <c:pt idx="5">
                  <c:v>1991</c:v>
                </c:pt>
                <c:pt idx="6">
                  <c:v>2000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'Esperanca de vida'!$B$3:$B$11</c:f>
              <c:numCache>
                <c:formatCode>General</c:formatCode>
                <c:ptCount val="9"/>
                <c:pt idx="0">
                  <c:v>45.5</c:v>
                </c:pt>
                <c:pt idx="1">
                  <c:v>48</c:v>
                </c:pt>
                <c:pt idx="2">
                  <c:v>52.5</c:v>
                </c:pt>
                <c:pt idx="3">
                  <c:v>57.6</c:v>
                </c:pt>
                <c:pt idx="4">
                  <c:v>62.5</c:v>
                </c:pt>
                <c:pt idx="5">
                  <c:v>66.900000000000006</c:v>
                </c:pt>
                <c:pt idx="6">
                  <c:v>69.8</c:v>
                </c:pt>
                <c:pt idx="7">
                  <c:v>73.900000000000006</c:v>
                </c:pt>
                <c:pt idx="8">
                  <c:v>75.5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C03-4FB7-9711-0003923FB6AD}"/>
            </c:ext>
          </c:extLst>
        </c:ser>
        <c:ser>
          <c:idx val="1"/>
          <c:order val="1"/>
          <c:tx>
            <c:strRef>
              <c:f>'Esperanca de vida'!$C$2</c:f>
              <c:strCache>
                <c:ptCount val="1"/>
                <c:pt idx="0">
                  <c:v>Homem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C03-4FB7-9711-0003923FB6AD}"/>
                </c:ext>
              </c:extLst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C03-4FB7-9711-0003923FB6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'Esperanca de vida'!$A$3:$A$11</c:f>
              <c:numCache>
                <c:formatCode>General</c:formatCode>
                <c:ptCount val="9"/>
                <c:pt idx="0">
                  <c:v>1940</c:v>
                </c:pt>
                <c:pt idx="1">
                  <c:v>1950</c:v>
                </c:pt>
                <c:pt idx="2">
                  <c:v>1960</c:v>
                </c:pt>
                <c:pt idx="3">
                  <c:v>1970</c:v>
                </c:pt>
                <c:pt idx="4">
                  <c:v>1980</c:v>
                </c:pt>
                <c:pt idx="5">
                  <c:v>1991</c:v>
                </c:pt>
                <c:pt idx="6">
                  <c:v>2000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'Esperanca de vida'!$C$3:$C$11</c:f>
              <c:numCache>
                <c:formatCode>General</c:formatCode>
                <c:ptCount val="9"/>
                <c:pt idx="0">
                  <c:v>42.9</c:v>
                </c:pt>
                <c:pt idx="1">
                  <c:v>45.3</c:v>
                </c:pt>
                <c:pt idx="2">
                  <c:v>49.7</c:v>
                </c:pt>
                <c:pt idx="3">
                  <c:v>54.6</c:v>
                </c:pt>
                <c:pt idx="4">
                  <c:v>59.6</c:v>
                </c:pt>
                <c:pt idx="5">
                  <c:v>63.2</c:v>
                </c:pt>
                <c:pt idx="6">
                  <c:v>66</c:v>
                </c:pt>
                <c:pt idx="7">
                  <c:v>70.2</c:v>
                </c:pt>
                <c:pt idx="8">
                  <c:v>71.900000000000006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C03-4FB7-9711-0003923FB6AD}"/>
            </c:ext>
          </c:extLst>
        </c:ser>
        <c:ser>
          <c:idx val="2"/>
          <c:order val="2"/>
          <c:tx>
            <c:strRef>
              <c:f>'Esperanca de vida'!$D$2</c:f>
              <c:strCache>
                <c:ptCount val="1"/>
                <c:pt idx="0">
                  <c:v>Mulher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C03-4FB7-9711-0003923FB6AD}"/>
                </c:ext>
              </c:extLst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C03-4FB7-9711-0003923FB6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'Esperanca de vida'!$A$3:$A$11</c:f>
              <c:numCache>
                <c:formatCode>General</c:formatCode>
                <c:ptCount val="9"/>
                <c:pt idx="0">
                  <c:v>1940</c:v>
                </c:pt>
                <c:pt idx="1">
                  <c:v>1950</c:v>
                </c:pt>
                <c:pt idx="2">
                  <c:v>1960</c:v>
                </c:pt>
                <c:pt idx="3">
                  <c:v>1970</c:v>
                </c:pt>
                <c:pt idx="4">
                  <c:v>1980</c:v>
                </c:pt>
                <c:pt idx="5">
                  <c:v>1991</c:v>
                </c:pt>
                <c:pt idx="6">
                  <c:v>2000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'Esperanca de vida'!$D$3:$D$11</c:f>
              <c:numCache>
                <c:formatCode>General</c:formatCode>
                <c:ptCount val="9"/>
                <c:pt idx="0">
                  <c:v>48.3</c:v>
                </c:pt>
                <c:pt idx="1">
                  <c:v>50.8</c:v>
                </c:pt>
                <c:pt idx="2">
                  <c:v>55.5</c:v>
                </c:pt>
                <c:pt idx="3">
                  <c:v>60.8</c:v>
                </c:pt>
                <c:pt idx="4">
                  <c:v>65.7</c:v>
                </c:pt>
                <c:pt idx="5">
                  <c:v>70.900000000000006</c:v>
                </c:pt>
                <c:pt idx="6">
                  <c:v>73.900000000000006</c:v>
                </c:pt>
                <c:pt idx="7">
                  <c:v>77.599999999999994</c:v>
                </c:pt>
                <c:pt idx="8">
                  <c:v>79.099999999999994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C03-4FB7-9711-0003923FB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0595128"/>
        <c:axId val="420603984"/>
      </c:barChart>
      <c:catAx>
        <c:axId val="420595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03984"/>
        <c:crosses val="autoZero"/>
        <c:auto val="1"/>
        <c:lblAlgn val="ctr"/>
        <c:lblOffset val="100"/>
        <c:noMultiLvlLbl val="0"/>
      </c:catAx>
      <c:valAx>
        <c:axId val="42060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595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Planilha2!$B$1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Planilha2!$A$2:$A$11</c:f>
              <c:strCache>
                <c:ptCount val="10"/>
                <c:pt idx="0">
                  <c:v>Acre </c:v>
                </c:pt>
                <c:pt idx="1">
                  <c:v>Amapá </c:v>
                </c:pt>
                <c:pt idx="2">
                  <c:v>Amazonas </c:v>
                </c:pt>
                <c:pt idx="3">
                  <c:v>Maranhão </c:v>
                </c:pt>
                <c:pt idx="4">
                  <c:v>Mato Grosso </c:v>
                </c:pt>
                <c:pt idx="5">
                  <c:v>Pará </c:v>
                </c:pt>
                <c:pt idx="6">
                  <c:v>Rondônia </c:v>
                </c:pt>
                <c:pt idx="7">
                  <c:v>Roraima </c:v>
                </c:pt>
                <c:pt idx="8">
                  <c:v>Tocantins </c:v>
                </c:pt>
                <c:pt idx="9">
                  <c:v>Brasil </c:v>
                </c:pt>
              </c:strCache>
            </c:strRef>
          </c:cat>
          <c:val>
            <c:numRef>
              <c:f>Planilha2!$B$2:$B$11</c:f>
              <c:numCache>
                <c:formatCode>0.0</c:formatCode>
                <c:ptCount val="10"/>
                <c:pt idx="0">
                  <c:v>3.43</c:v>
                </c:pt>
                <c:pt idx="1">
                  <c:v>3.6</c:v>
                </c:pt>
                <c:pt idx="2">
                  <c:v>3.4</c:v>
                </c:pt>
                <c:pt idx="3">
                  <c:v>3.21</c:v>
                </c:pt>
                <c:pt idx="4">
                  <c:v>2.4700000000000002</c:v>
                </c:pt>
                <c:pt idx="5">
                  <c:v>3.16</c:v>
                </c:pt>
                <c:pt idx="6">
                  <c:v>2.73</c:v>
                </c:pt>
                <c:pt idx="7">
                  <c:v>3.2</c:v>
                </c:pt>
                <c:pt idx="8">
                  <c:v>2.93</c:v>
                </c:pt>
                <c:pt idx="9">
                  <c:v>2.38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F8-486D-AB1A-F8D18A2B6378}"/>
            </c:ext>
          </c:extLst>
        </c:ser>
        <c:ser>
          <c:idx val="1"/>
          <c:order val="1"/>
          <c:tx>
            <c:strRef>
              <c:f>Planilha2!$C$1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Planilha2!$A$2:$A$11</c:f>
              <c:strCache>
                <c:ptCount val="10"/>
                <c:pt idx="0">
                  <c:v>Acre </c:v>
                </c:pt>
                <c:pt idx="1">
                  <c:v>Amapá </c:v>
                </c:pt>
                <c:pt idx="2">
                  <c:v>Amazonas </c:v>
                </c:pt>
                <c:pt idx="3">
                  <c:v>Maranhão </c:v>
                </c:pt>
                <c:pt idx="4">
                  <c:v>Mato Grosso </c:v>
                </c:pt>
                <c:pt idx="5">
                  <c:v>Pará </c:v>
                </c:pt>
                <c:pt idx="6">
                  <c:v>Rondônia </c:v>
                </c:pt>
                <c:pt idx="7">
                  <c:v>Roraima </c:v>
                </c:pt>
                <c:pt idx="8">
                  <c:v>Tocantins </c:v>
                </c:pt>
                <c:pt idx="9">
                  <c:v>Brasil </c:v>
                </c:pt>
              </c:strCache>
            </c:strRef>
          </c:cat>
          <c:val>
            <c:numRef>
              <c:f>Planilha2!$C$2:$C$11</c:f>
              <c:numCache>
                <c:formatCode>0.0</c:formatCode>
                <c:ptCount val="10"/>
                <c:pt idx="0">
                  <c:v>2.82</c:v>
                </c:pt>
                <c:pt idx="1">
                  <c:v>2.6</c:v>
                </c:pt>
                <c:pt idx="2">
                  <c:v>2.66</c:v>
                </c:pt>
                <c:pt idx="3">
                  <c:v>2.5</c:v>
                </c:pt>
                <c:pt idx="4">
                  <c:v>2.11</c:v>
                </c:pt>
                <c:pt idx="5">
                  <c:v>2.4300000000000002</c:v>
                </c:pt>
                <c:pt idx="6">
                  <c:v>2.15</c:v>
                </c:pt>
                <c:pt idx="7">
                  <c:v>2.52</c:v>
                </c:pt>
                <c:pt idx="8">
                  <c:v>2.33</c:v>
                </c:pt>
                <c:pt idx="9">
                  <c:v>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F8-486D-AB1A-F8D18A2B63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0145616"/>
        <c:axId val="370146600"/>
      </c:barChart>
      <c:catAx>
        <c:axId val="37014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0146600"/>
        <c:crosses val="autoZero"/>
        <c:auto val="1"/>
        <c:lblAlgn val="ctr"/>
        <c:lblOffset val="100"/>
        <c:noMultiLvlLbl val="0"/>
      </c:catAx>
      <c:valAx>
        <c:axId val="3701466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crossAx val="37014561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'!$H$3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'!$F$4:$F$22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'!$H$4:$H$22</c:f>
              <c:numCache>
                <c:formatCode>#,##0;[Red]#,##0</c:formatCode>
                <c:ptCount val="19"/>
                <c:pt idx="0">
                  <c:v>-3.8968081603819318</c:v>
                </c:pt>
                <c:pt idx="1">
                  <c:v>-4.153424328414018</c:v>
                </c:pt>
                <c:pt idx="2">
                  <c:v>-4.5372035795944319</c:v>
                </c:pt>
                <c:pt idx="3">
                  <c:v>-4.4506160638300809</c:v>
                </c:pt>
                <c:pt idx="4">
                  <c:v>-4.4877035219159431</c:v>
                </c:pt>
                <c:pt idx="5">
                  <c:v>-4.3997003407274233</c:v>
                </c:pt>
                <c:pt idx="6">
                  <c:v>-4.0131662118150935</c:v>
                </c:pt>
                <c:pt idx="7">
                  <c:v>-3.5186530877858999</c:v>
                </c:pt>
                <c:pt idx="8">
                  <c:v>-3.2867030554082617</c:v>
                </c:pt>
                <c:pt idx="9">
                  <c:v>-2.9598726531215074</c:v>
                </c:pt>
                <c:pt idx="10">
                  <c:v>-2.5142310292700398</c:v>
                </c:pt>
                <c:pt idx="11">
                  <c:v>-2.0292509418177316</c:v>
                </c:pt>
                <c:pt idx="12">
                  <c:v>-1.5813793498860043</c:v>
                </c:pt>
                <c:pt idx="13">
                  <c:v>-1.1565447751883797</c:v>
                </c:pt>
                <c:pt idx="14">
                  <c:v>-0.86705941128575859</c:v>
                </c:pt>
                <c:pt idx="15">
                  <c:v>-0.56709022137856757</c:v>
                </c:pt>
                <c:pt idx="16">
                  <c:v>-0.34769645887944506</c:v>
                </c:pt>
                <c:pt idx="17">
                  <c:v>-0.16160033756770373</c:v>
                </c:pt>
                <c:pt idx="18">
                  <c:v>-7.9949435448124703E-2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B2-4961-B4B2-DA6314D6EEC0}"/>
            </c:ext>
          </c:extLst>
        </c:ser>
        <c:ser>
          <c:idx val="1"/>
          <c:order val="1"/>
          <c:tx>
            <c:strRef>
              <c:f>'Pirâmides Etárias '!$I$3</c:f>
              <c:strCache>
                <c:ptCount val="1"/>
                <c:pt idx="0">
                  <c:v>Mulheres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'!$F$4:$F$22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'!$I$4:$I$22</c:f>
              <c:numCache>
                <c:formatCode>#,##0</c:formatCode>
                <c:ptCount val="19"/>
                <c:pt idx="0">
                  <c:v>3.7270966089594779</c:v>
                </c:pt>
                <c:pt idx="1">
                  <c:v>3.9871367477691932</c:v>
                </c:pt>
                <c:pt idx="2">
                  <c:v>4.3894951324558455</c:v>
                </c:pt>
                <c:pt idx="3">
                  <c:v>4.3846375374683122</c:v>
                </c:pt>
                <c:pt idx="4">
                  <c:v>4.4797744614593737</c:v>
                </c:pt>
                <c:pt idx="5">
                  <c:v>4.4945730140140823</c:v>
                </c:pt>
                <c:pt idx="6">
                  <c:v>4.173961482673656</c:v>
                </c:pt>
                <c:pt idx="7">
                  <c:v>3.7033997346266148</c:v>
                </c:pt>
                <c:pt idx="8">
                  <c:v>3.4782022056857493</c:v>
                </c:pt>
                <c:pt idx="9">
                  <c:v>3.1935457027134828</c:v>
                </c:pt>
                <c:pt idx="10">
                  <c:v>2.7588650954590022</c:v>
                </c:pt>
                <c:pt idx="11">
                  <c:v>2.2744766217196575</c:v>
                </c:pt>
                <c:pt idx="12">
                  <c:v>1.8034623122720663</c:v>
                </c:pt>
                <c:pt idx="13">
                  <c:v>1.3607577195506966</c:v>
                </c:pt>
                <c:pt idx="14">
                  <c:v>1.0786682967223646</c:v>
                </c:pt>
                <c:pt idx="15">
                  <c:v>0.76595965732214943</c:v>
                </c:pt>
                <c:pt idx="16">
                  <c:v>0.51917104995301933</c:v>
                </c:pt>
                <c:pt idx="17">
                  <c:v>0.26455087267845878</c:v>
                </c:pt>
                <c:pt idx="18">
                  <c:v>0.15361278278045123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B2-4961-B4B2-DA6314D6E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366696"/>
        <c:axId val="1"/>
      </c:barChart>
      <c:catAx>
        <c:axId val="3763666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366696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'!$H$27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'!$F$28:$F$46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'!$H$28:$H$46</c:f>
              <c:numCache>
                <c:formatCode>#,##0;[Red]#,##0</c:formatCode>
                <c:ptCount val="19"/>
                <c:pt idx="0">
                  <c:v>-3.5591907489315568</c:v>
                </c:pt>
                <c:pt idx="1">
                  <c:v>-3.5378666468148587</c:v>
                </c:pt>
                <c:pt idx="2">
                  <c:v>-3.5718052858763296</c:v>
                </c:pt>
                <c:pt idx="3">
                  <c:v>-3.7978681583680873</c:v>
                </c:pt>
                <c:pt idx="4">
                  <c:v>-4.1146213911454153</c:v>
                </c:pt>
                <c:pt idx="5">
                  <c:v>-4.0066899358719477</c:v>
                </c:pt>
                <c:pt idx="6">
                  <c:v>-4.0296173006768576</c:v>
                </c:pt>
                <c:pt idx="7">
                  <c:v>-3.9420054880980486</c:v>
                </c:pt>
                <c:pt idx="8">
                  <c:v>-3.5771581526129652</c:v>
                </c:pt>
                <c:pt idx="9">
                  <c:v>-3.1056633887319545</c:v>
                </c:pt>
                <c:pt idx="10">
                  <c:v>-2.8528196540756978</c:v>
                </c:pt>
                <c:pt idx="11">
                  <c:v>-2.505765464854659</c:v>
                </c:pt>
                <c:pt idx="12">
                  <c:v>-2.0545199795621079</c:v>
                </c:pt>
                <c:pt idx="13">
                  <c:v>-1.5758726334496831</c:v>
                </c:pt>
                <c:pt idx="14">
                  <c:v>-1.1328044962304957</c:v>
                </c:pt>
                <c:pt idx="15">
                  <c:v>-0.72824724824870357</c:v>
                </c:pt>
                <c:pt idx="16">
                  <c:v>-0.4498670099503157</c:v>
                </c:pt>
                <c:pt idx="17">
                  <c:v>-0.22254513942416243</c:v>
                </c:pt>
                <c:pt idx="18">
                  <c:v>-0.12522827485553495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D5-4674-8C85-09E205C1A040}"/>
            </c:ext>
          </c:extLst>
        </c:ser>
        <c:ser>
          <c:idx val="1"/>
          <c:order val="1"/>
          <c:tx>
            <c:strRef>
              <c:f>'Pirâmides Etárias '!$I$27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'!$F$28:$F$46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'!$I$28:$I$46</c:f>
              <c:numCache>
                <c:formatCode>#,##0</c:formatCode>
                <c:ptCount val="19"/>
                <c:pt idx="0">
                  <c:v>3.3970855432778642</c:v>
                </c:pt>
                <c:pt idx="1">
                  <c:v>3.3806302595162352</c:v>
                </c:pt>
                <c:pt idx="2">
                  <c:v>3.4199680450620424</c:v>
                </c:pt>
                <c:pt idx="3">
                  <c:v>3.6592456744917157</c:v>
                </c:pt>
                <c:pt idx="4">
                  <c:v>4.0236561858275808</c:v>
                </c:pt>
                <c:pt idx="5">
                  <c:v>4.0147548902723242</c:v>
                </c:pt>
                <c:pt idx="6">
                  <c:v>4.0955083275872459</c:v>
                </c:pt>
                <c:pt idx="7">
                  <c:v>4.0986496835230293</c:v>
                </c:pt>
                <c:pt idx="8">
                  <c:v>3.7912265423306781</c:v>
                </c:pt>
                <c:pt idx="9">
                  <c:v>3.341626821535451</c:v>
                </c:pt>
                <c:pt idx="10">
                  <c:v>3.105841424087906</c:v>
                </c:pt>
                <c:pt idx="11">
                  <c:v>2.8103971816729252</c:v>
                </c:pt>
                <c:pt idx="12">
                  <c:v>2.3768735340535736</c:v>
                </c:pt>
                <c:pt idx="13">
                  <c:v>1.8947514289249896</c:v>
                </c:pt>
                <c:pt idx="14">
                  <c:v>1.4213950858048245</c:v>
                </c:pt>
                <c:pt idx="15">
                  <c:v>0.97862021106851749</c:v>
                </c:pt>
                <c:pt idx="16">
                  <c:v>0.66772183861768397</c:v>
                </c:pt>
                <c:pt idx="17">
                  <c:v>0.37216378580274478</c:v>
                </c:pt>
                <c:pt idx="18">
                  <c:v>0.25972713876328762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D5-4674-8C85-09E205C1A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371288"/>
        <c:axId val="1"/>
      </c:barChart>
      <c:catAx>
        <c:axId val="3763712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371288"/>
        <c:crosses val="autoZero"/>
        <c:crossBetween val="between"/>
        <c:majorUnit val="4"/>
        <c:minorUnit val="1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'!$H$51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'!$F$52:$F$70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'!$H$52:$H$70</c:f>
              <c:numCache>
                <c:formatCode>#,##0;[Red]#,##0</c:formatCode>
                <c:ptCount val="19"/>
                <c:pt idx="0">
                  <c:v>-3.1021593414909376</c:v>
                </c:pt>
                <c:pt idx="1">
                  <c:v>-3.2547374295644893</c:v>
                </c:pt>
                <c:pt idx="2">
                  <c:v>-3.3411270451967603</c:v>
                </c:pt>
                <c:pt idx="3">
                  <c:v>-3.3144803560759004</c:v>
                </c:pt>
                <c:pt idx="4">
                  <c:v>-3.3222075401574096</c:v>
                </c:pt>
                <c:pt idx="5">
                  <c:v>-3.5101551946399669</c:v>
                </c:pt>
                <c:pt idx="6">
                  <c:v>-3.7954032878118764</c:v>
                </c:pt>
                <c:pt idx="7">
                  <c:v>-3.6911396672424432</c:v>
                </c:pt>
                <c:pt idx="8">
                  <c:v>-3.6974820417458094</c:v>
                </c:pt>
                <c:pt idx="9">
                  <c:v>-3.5871940103365847</c:v>
                </c:pt>
                <c:pt idx="10">
                  <c:v>-3.2095403400766802</c:v>
                </c:pt>
                <c:pt idx="11">
                  <c:v>-2.7270645004900689</c:v>
                </c:pt>
                <c:pt idx="12">
                  <c:v>-2.4276276679474953</c:v>
                </c:pt>
                <c:pt idx="13">
                  <c:v>-2.0386211384324762</c:v>
                </c:pt>
                <c:pt idx="14">
                  <c:v>-1.5572961938966789</c:v>
                </c:pt>
                <c:pt idx="15">
                  <c:v>-1.0655856222292301</c:v>
                </c:pt>
                <c:pt idx="16">
                  <c:v>-0.6432831830370237</c:v>
                </c:pt>
                <c:pt idx="17">
                  <c:v>-0.31957171477430218</c:v>
                </c:pt>
                <c:pt idx="18">
                  <c:v>-0.1921896899886299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52-4579-87B3-F053606BB247}"/>
            </c:ext>
          </c:extLst>
        </c:ser>
        <c:ser>
          <c:idx val="1"/>
          <c:order val="1"/>
          <c:tx>
            <c:strRef>
              <c:f>'Pirâmides Etárias '!$I$51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'!$F$52:$F$70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'!$I$52:$I$70</c:f>
              <c:numCache>
                <c:formatCode>#,##0</c:formatCode>
                <c:ptCount val="19"/>
                <c:pt idx="0">
                  <c:v>2.9590796952220004</c:v>
                </c:pt>
                <c:pt idx="1">
                  <c:v>3.1066606396765413</c:v>
                </c:pt>
                <c:pt idx="2">
                  <c:v>3.1917690618615961</c:v>
                </c:pt>
                <c:pt idx="3">
                  <c:v>3.1764743425870012</c:v>
                </c:pt>
                <c:pt idx="4">
                  <c:v>3.2096888713544902</c:v>
                </c:pt>
                <c:pt idx="5">
                  <c:v>3.4304761687746148</c:v>
                </c:pt>
                <c:pt idx="6">
                  <c:v>3.7678596298666371</c:v>
                </c:pt>
                <c:pt idx="7">
                  <c:v>3.752453734485897</c:v>
                </c:pt>
                <c:pt idx="8">
                  <c:v>3.8150236470243661</c:v>
                </c:pt>
                <c:pt idx="9">
                  <c:v>3.7962006428451489</c:v>
                </c:pt>
                <c:pt idx="10">
                  <c:v>3.4803208642037142</c:v>
                </c:pt>
                <c:pt idx="11">
                  <c:v>3.029085510443879</c:v>
                </c:pt>
                <c:pt idx="12">
                  <c:v>2.7638437799249944</c:v>
                </c:pt>
                <c:pt idx="13">
                  <c:v>2.4299966084172357</c:v>
                </c:pt>
                <c:pt idx="14">
                  <c:v>1.9589994794378947</c:v>
                </c:pt>
                <c:pt idx="15">
                  <c:v>1.4431076599794594</c:v>
                </c:pt>
                <c:pt idx="16">
                  <c:v>0.95184090332774196</c:v>
                </c:pt>
                <c:pt idx="17">
                  <c:v>0.5311567435365836</c:v>
                </c:pt>
                <c:pt idx="18">
                  <c:v>0.40909605189544102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52-4579-87B3-F053606BB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371616"/>
        <c:axId val="1"/>
      </c:barChart>
      <c:catAx>
        <c:axId val="3763716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371616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'!$H$75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'!$F$76:$F$94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'!$H$76:$H$94</c:f>
              <c:numCache>
                <c:formatCode>#,##0;[Red]#,##0</c:formatCode>
                <c:ptCount val="19"/>
                <c:pt idx="0">
                  <c:v>-2.645311373188473</c:v>
                </c:pt>
                <c:pt idx="1">
                  <c:v>-2.7236087024066538</c:v>
                </c:pt>
                <c:pt idx="2">
                  <c:v>-2.8193864731462432</c:v>
                </c:pt>
                <c:pt idx="3">
                  <c:v>-2.9362494594728892</c:v>
                </c:pt>
                <c:pt idx="4">
                  <c:v>-3.0665994415882114</c:v>
                </c:pt>
                <c:pt idx="5">
                  <c:v>-3.1972077969742148</c:v>
                </c:pt>
                <c:pt idx="6">
                  <c:v>-3.2582795003062723</c:v>
                </c:pt>
                <c:pt idx="7">
                  <c:v>-3.2115152724262415</c:v>
                </c:pt>
                <c:pt idx="8">
                  <c:v>-3.2006925008452272</c:v>
                </c:pt>
                <c:pt idx="9">
                  <c:v>-3.3548057085924303</c:v>
                </c:pt>
                <c:pt idx="10">
                  <c:v>-3.5729576875924915</c:v>
                </c:pt>
                <c:pt idx="11">
                  <c:v>-3.3882359190058406</c:v>
                </c:pt>
                <c:pt idx="12">
                  <c:v>-3.2611509567757886</c:v>
                </c:pt>
                <c:pt idx="13">
                  <c:v>-2.9802311717683203</c:v>
                </c:pt>
                <c:pt idx="14">
                  <c:v>-2.4320031147809424</c:v>
                </c:pt>
                <c:pt idx="15">
                  <c:v>-1.7885224829794051</c:v>
                </c:pt>
                <c:pt idx="16">
                  <c:v>-1.2737713303700189</c:v>
                </c:pt>
                <c:pt idx="17">
                  <c:v>-0.7638394396098106</c:v>
                </c:pt>
                <c:pt idx="18">
                  <c:v>-0.51066965540058706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8F-470E-A7F4-02A18CBFB119}"/>
            </c:ext>
          </c:extLst>
        </c:ser>
        <c:ser>
          <c:idx val="1"/>
          <c:order val="1"/>
          <c:tx>
            <c:strRef>
              <c:f>'Pirâmides Etárias '!$I$75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'!$F$76:$F$94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'!$I$76:$I$94</c:f>
              <c:numCache>
                <c:formatCode>#,##0</c:formatCode>
                <c:ptCount val="19"/>
                <c:pt idx="0">
                  <c:v>2.5222678847690077</c:v>
                </c:pt>
                <c:pt idx="1">
                  <c:v>2.597891650986611</c:v>
                </c:pt>
                <c:pt idx="2">
                  <c:v>2.690436865263925</c:v>
                </c:pt>
                <c:pt idx="3">
                  <c:v>2.8076009164860123</c:v>
                </c:pt>
                <c:pt idx="4">
                  <c:v>2.9464380825444518</c:v>
                </c:pt>
                <c:pt idx="5">
                  <c:v>3.0908869737366729</c:v>
                </c:pt>
                <c:pt idx="6">
                  <c:v>3.169931406388149</c:v>
                </c:pt>
                <c:pt idx="7">
                  <c:v>3.1470068933010271</c:v>
                </c:pt>
                <c:pt idx="8">
                  <c:v>3.1674930920281743</c:v>
                </c:pt>
                <c:pt idx="9">
                  <c:v>3.3634142968434588</c:v>
                </c:pt>
                <c:pt idx="10">
                  <c:v>3.6557994513254597</c:v>
                </c:pt>
                <c:pt idx="11">
                  <c:v>3.5838155908230473</c:v>
                </c:pt>
                <c:pt idx="12">
                  <c:v>3.5574930912277063</c:v>
                </c:pt>
                <c:pt idx="13">
                  <c:v>3.4136498874617645</c:v>
                </c:pt>
                <c:pt idx="14">
                  <c:v>2.9531695734193262</c:v>
                </c:pt>
                <c:pt idx="15">
                  <c:v>2.3387205805676743</c:v>
                </c:pt>
                <c:pt idx="16">
                  <c:v>1.8297474725468617</c:v>
                </c:pt>
                <c:pt idx="17">
                  <c:v>1.2585246391732781</c:v>
                </c:pt>
                <c:pt idx="18">
                  <c:v>1.1071321330956583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8F-470E-A7F4-02A18CBFB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474752"/>
        <c:axId val="1"/>
      </c:barChart>
      <c:catAx>
        <c:axId val="3764747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474752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'!$R$3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'!$P$4:$P$22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'!$R$4:$R$22</c:f>
              <c:numCache>
                <c:formatCode>#,##0;[Red]#,##0</c:formatCode>
                <c:ptCount val="19"/>
                <c:pt idx="0">
                  <c:v>-5.1542175263769137</c:v>
                </c:pt>
                <c:pt idx="1">
                  <c:v>-5.2648238595678638</c:v>
                </c:pt>
                <c:pt idx="2">
                  <c:v>-5.460602594261033</c:v>
                </c:pt>
                <c:pt idx="3">
                  <c:v>-5.1123507195301094</c:v>
                </c:pt>
                <c:pt idx="4">
                  <c:v>-4.8682095306301996</c:v>
                </c:pt>
                <c:pt idx="5">
                  <c:v>-4.5615405419518487</c:v>
                </c:pt>
                <c:pt idx="6">
                  <c:v>-4.0032755251412437</c:v>
                </c:pt>
                <c:pt idx="7">
                  <c:v>-3.3478520451908285</c:v>
                </c:pt>
                <c:pt idx="8">
                  <c:v>-2.9182837202847636</c:v>
                </c:pt>
                <c:pt idx="9">
                  <c:v>-2.4411586623447783</c:v>
                </c:pt>
                <c:pt idx="10">
                  <c:v>-1.9945704368547301</c:v>
                </c:pt>
                <c:pt idx="11">
                  <c:v>-1.5769766632837887</c:v>
                </c:pt>
                <c:pt idx="12">
                  <c:v>-1.1979385662161035</c:v>
                </c:pt>
                <c:pt idx="13">
                  <c:v>-0.91111717576158968</c:v>
                </c:pt>
                <c:pt idx="14">
                  <c:v>-0.6589417957384025</c:v>
                </c:pt>
                <c:pt idx="15">
                  <c:v>-0.42974865297807779</c:v>
                </c:pt>
                <c:pt idx="16">
                  <c:v>-0.24362706205629941</c:v>
                </c:pt>
                <c:pt idx="17">
                  <c:v>-0.11768516920931166</c:v>
                </c:pt>
                <c:pt idx="18">
                  <c:v>-7.1509672471657515E-2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D-4ED2-B2D8-4341BE581FEA}"/>
            </c:ext>
          </c:extLst>
        </c:ser>
        <c:ser>
          <c:idx val="1"/>
          <c:order val="1"/>
          <c:tx>
            <c:strRef>
              <c:f>'Pirâmides Etárias '!$S$3</c:f>
              <c:strCache>
                <c:ptCount val="1"/>
                <c:pt idx="0">
                  <c:v>Mulheres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'!$P$4:$P$22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'!$S$4:$S$22</c:f>
              <c:numCache>
                <c:formatCode>#,##0</c:formatCode>
                <c:ptCount val="19"/>
                <c:pt idx="0">
                  <c:v>4.9381538019660898</c:v>
                </c:pt>
                <c:pt idx="1">
                  <c:v>5.0640151226957952</c:v>
                </c:pt>
                <c:pt idx="2">
                  <c:v>5.2787820196951252</c:v>
                </c:pt>
                <c:pt idx="3">
                  <c:v>5.0371424031984526</c:v>
                </c:pt>
                <c:pt idx="4">
                  <c:v>4.8382558868386871</c:v>
                </c:pt>
                <c:pt idx="5">
                  <c:v>4.5963668804551885</c:v>
                </c:pt>
                <c:pt idx="6">
                  <c:v>4.0343840359471344</c:v>
                </c:pt>
                <c:pt idx="7">
                  <c:v>3.3470156298780904</c:v>
                </c:pt>
                <c:pt idx="8">
                  <c:v>2.8687587255286653</c:v>
                </c:pt>
                <c:pt idx="9">
                  <c:v>2.3987048300720617</c:v>
                </c:pt>
                <c:pt idx="10">
                  <c:v>1.9764724046061621</c:v>
                </c:pt>
                <c:pt idx="11">
                  <c:v>1.5721423362468596</c:v>
                </c:pt>
                <c:pt idx="12">
                  <c:v>1.1783365211116021</c:v>
                </c:pt>
                <c:pt idx="13">
                  <c:v>0.90286812565889296</c:v>
                </c:pt>
                <c:pt idx="14">
                  <c:v>0.66984972571141055</c:v>
                </c:pt>
                <c:pt idx="15">
                  <c:v>0.44525686717114787</c:v>
                </c:pt>
                <c:pt idx="16">
                  <c:v>0.26966336624090442</c:v>
                </c:pt>
                <c:pt idx="17">
                  <c:v>0.14299248757088764</c:v>
                </c:pt>
                <c:pt idx="18">
                  <c:v>0.10640890955729958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5D-4ED2-B2D8-4341BE581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29680"/>
        <c:axId val="1"/>
      </c:barChart>
      <c:catAx>
        <c:axId val="376129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29680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'!$R$27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'!$P$28:$P$46</c:f>
              <c:strCache>
                <c:ptCount val="19"/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'!$R$28:$R$46</c:f>
              <c:numCache>
                <c:formatCode>#,##0;[Red]#,##0</c:formatCode>
                <c:ptCount val="19"/>
                <c:pt idx="0">
                  <c:v>-4.3252424172159571</c:v>
                </c:pt>
                <c:pt idx="1">
                  <c:v>-4.319518074475746</c:v>
                </c:pt>
                <c:pt idx="2">
                  <c:v>-4.5341570473771915</c:v>
                </c:pt>
                <c:pt idx="3">
                  <c:v>-4.6012833239559408</c:v>
                </c:pt>
                <c:pt idx="4">
                  <c:v>-4.6970381370518863</c:v>
                </c:pt>
                <c:pt idx="5">
                  <c:v>-4.3369333126692977</c:v>
                </c:pt>
                <c:pt idx="6">
                  <c:v>-4.1416677261931563</c:v>
                </c:pt>
                <c:pt idx="7">
                  <c:v>-3.9048034297205074</c:v>
                </c:pt>
                <c:pt idx="8">
                  <c:v>-3.4219493201899516</c:v>
                </c:pt>
                <c:pt idx="9">
                  <c:v>-2.8356749636318312</c:v>
                </c:pt>
                <c:pt idx="10">
                  <c:v>-2.4229184671083459</c:v>
                </c:pt>
                <c:pt idx="11">
                  <c:v>-1.9685837290367696</c:v>
                </c:pt>
                <c:pt idx="12">
                  <c:v>-1.5426012034287788</c:v>
                </c:pt>
                <c:pt idx="13">
                  <c:v>-1.145895381871143</c:v>
                </c:pt>
                <c:pt idx="14">
                  <c:v>-0.78812396060792522</c:v>
                </c:pt>
                <c:pt idx="15">
                  <c:v>-0.51552857601788993</c:v>
                </c:pt>
                <c:pt idx="16">
                  <c:v>-0.30194713961791342</c:v>
                </c:pt>
                <c:pt idx="17">
                  <c:v>-0.14692593413478452</c:v>
                </c:pt>
                <c:pt idx="18">
                  <c:v>-8.1433722021208785E-2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A3-4413-9790-3590A13DD00C}"/>
            </c:ext>
          </c:extLst>
        </c:ser>
        <c:ser>
          <c:idx val="1"/>
          <c:order val="1"/>
          <c:tx>
            <c:strRef>
              <c:f>'Pirâmides Etárias '!$S$27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'!$P$28:$P$46</c:f>
              <c:strCache>
                <c:ptCount val="19"/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'!$S$28:$S$46</c:f>
              <c:numCache>
                <c:formatCode>#,##0</c:formatCode>
                <c:ptCount val="19"/>
                <c:pt idx="0">
                  <c:v>4.1335758662528814</c:v>
                </c:pt>
                <c:pt idx="1">
                  <c:v>4.1325899693208665</c:v>
                </c:pt>
                <c:pt idx="2">
                  <c:v>4.3445100499911149</c:v>
                </c:pt>
                <c:pt idx="3">
                  <c:v>4.4305628185380961</c:v>
                </c:pt>
                <c:pt idx="4">
                  <c:v>4.5775535694261968</c:v>
                </c:pt>
                <c:pt idx="5">
                  <c:v>4.3500058283906862</c:v>
                </c:pt>
                <c:pt idx="6">
                  <c:v>4.199091958222942</c:v>
                </c:pt>
                <c:pt idx="7">
                  <c:v>4.0046962808044606</c:v>
                </c:pt>
                <c:pt idx="8">
                  <c:v>3.5060405290971106</c:v>
                </c:pt>
                <c:pt idx="9">
                  <c:v>2.8877023480960542</c:v>
                </c:pt>
                <c:pt idx="10">
                  <c:v>2.4418756617492017</c:v>
                </c:pt>
                <c:pt idx="11">
                  <c:v>1.9998288155430848</c:v>
                </c:pt>
                <c:pt idx="12">
                  <c:v>1.6004859755479142</c:v>
                </c:pt>
                <c:pt idx="13">
                  <c:v>1.2208371943365577</c:v>
                </c:pt>
                <c:pt idx="14">
                  <c:v>0.85622248848641247</c:v>
                </c:pt>
                <c:pt idx="15">
                  <c:v>0.58926616143485733</c:v>
                </c:pt>
                <c:pt idx="16">
                  <c:v>0.37153645282266556</c:v>
                </c:pt>
                <c:pt idx="17">
                  <c:v>0.19448778543635098</c:v>
                </c:pt>
                <c:pt idx="18">
                  <c:v>0.12690438017632136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A3-4413-9790-3590A13DD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27712"/>
        <c:axId val="1"/>
      </c:barChart>
      <c:catAx>
        <c:axId val="3761277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27712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1504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Alfenas</dc:creator>
  <cp:keywords/>
  <dc:description/>
  <cp:lastModifiedBy>Flavia Alfenas</cp:lastModifiedBy>
  <cp:revision>8</cp:revision>
  <dcterms:created xsi:type="dcterms:W3CDTF">2020-07-24T00:35:00Z</dcterms:created>
  <dcterms:modified xsi:type="dcterms:W3CDTF">2020-07-26T14:05:00Z</dcterms:modified>
</cp:coreProperties>
</file>