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NetBot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04-10-2026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Diseño basado en 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7023102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2yzm9ujx3j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42yzm9ujx3j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_heading=h.42yzm9ujx3j7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del documento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iv40dxx19d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hiv40dxx19d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_heading=h.hiv40dxx19dx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Integrantes: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0kg3bv5gjj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n0kg3bv5gjj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_heading=h.n0kg3bv5gjjm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dwapgfnd32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sdwapgfnd32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_heading=h.sdwapgfnd32b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qunzfgltnq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7qunzfgltnq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_heading=h.7qunzfgltnqa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abykx3s4k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4.2.1</w:t>
            </w:r>
          </w:hyperlink>
          <w:hyperlink w:anchor="_heading=h.aabykx3s4k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_heading=h.aabykx3s4ks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E-R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1ucpxt8pn7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</w:t>
            </w:r>
          </w:hyperlink>
          <w:hyperlink w:anchor="_heading=h.z1ucpxt8pn7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_heading=h.z1ucpxt8pn71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nf6u0jlowg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4.2.3</w:t>
            </w:r>
          </w:hyperlink>
          <w:hyperlink w:anchor="_heading=h.mnf6u0jlowg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_heading=h.mnf6u0jlowg5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Secuencia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zbosas4t61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bzbosas4t61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_heading=h.bzbosas4t61c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Despliegue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hoc265l0jv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4.3.1</w:t>
            </w:r>
          </w:hyperlink>
          <w:hyperlink w:anchor="_heading=h.shoc265l0jv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_heading=h.shoc265l0jvh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Componentes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heading=h.42yzm9ujx3j7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04-10-2026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Francisco Diaz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Creación inicial del documento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hiv40dxx19dx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Bastián Herrera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Francisco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Programador, Product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Itamar Carrasco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n0kg3bv5gjjm" w:id="2"/>
      <w:bookmarkEnd w:id="2"/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sdwapgfnd32b" w:id="3"/>
      <w:bookmarkEnd w:id="3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El diagrama de casos de uso representa las funcionalidades de NetBot desde la perspectiva de sus actores. Los actores humanos son el Administrador de Red, el Técnico de Red y el Supervisor de Evento (solo lectura); los actores de sistema son los agentes en background (monitoreo y tickets) y los sistemas externos (UniFi Controller, OPNsense y el proveedor LLM). Los casos de uso se agrupan en las seis épicas del producto: autenticación y roles, monitoreo de red, chat/CSV/reserva de VLAN, ejecución de cambios, tickets y notificaciones, y arquitectura multi-agente.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5612130" cy="3594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Figura 1. Diagrama de casos de uso de NetBot.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7qunzfgltnqa" w:id="4"/>
      <w:bookmarkEnd w:id="4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41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aabykx3s4ks" w:id="5"/>
      <w:bookmarkEnd w:id="5"/>
      <w:r w:rsidDel="00000000" w:rsidR="00000000" w:rsidRPr="00000000">
        <w:rPr>
          <w:rtl w:val="0"/>
        </w:rPr>
        <w:t xml:space="preserve">Modelo E-R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El modelo entidad-relación describe la base de datos PostgreSQL de NetBot: usuarios, roles y permisos; el inventario de dispositivos, VLANs, SSIDs y planos de cobertura; las reservas y ejecuciones de cambios (con el estado previo guardado para el rollback); las conversaciones del chat y las cargas CSV; y las alertas, tickets, seguimientos, notificaciones y el registro de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5448300" cy="45529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Figura 2. Modelo entidad-relación de NetBot.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z1ucpxt8pn71" w:id="6"/>
      <w:bookmarkEnd w:id="6"/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El diagrama de clases presenta la estructura del backend (FastAPI): las entidades de dominio, los servicios de aplicación (autenticación, chat, importación CSV, reserva de VLAN, gestión de cambios, tickets y notificaciones), los adaptadores hacia UniFi, OPNsense y el proveedor LLM mediante interfaces comunes, y los agentes en background con su orquestador.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5612130" cy="2984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Figura 3. Diagrama de clases del backend de NetBot.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mnf6u0jlowg5" w:id="7"/>
      <w:bookmarkEnd w:id="7"/>
      <w:r w:rsidDel="00000000" w:rsidR="00000000" w:rsidRPr="00000000">
        <w:rPr>
          <w:rtl w:val="0"/>
        </w:rPr>
        <w:t xml:space="preserve">Diagrama de Secuencia</w:t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Se documentan los tres flujos más críticos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Secuencia 1 – Cambio de VLAN solicitado por chat. </w:t>
      </w:r>
      <w:r w:rsidDel="00000000" w:rsidR="00000000" w:rsidRPr="00000000">
        <w:rPr>
          <w:rtl w:val="0"/>
        </w:rPr>
        <w:t xml:space="preserve">El usuario pide el cambio en lenguaje natural; el sistema valida el permiso, reserva la VLAN, solicita la confirmación explícita, ejecuta el cambio en UniFi y OPNsense, verifica el resultado y, si la verificación falla, realiza el rollback y registra todo en la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3401024" cy="622606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1024" cy="622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Figura 4. Diagrama de secuencia: cambio de VLAN por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Secuencia 2 – Carga masiva de SSIDs vía CSV. </w:t>
      </w:r>
      <w:r w:rsidDel="00000000" w:rsidR="00000000" w:rsidRPr="00000000">
        <w:rPr>
          <w:rtl w:val="0"/>
        </w:rPr>
        <w:t xml:space="preserve">El usuario sube el archivo; el sistema lo valida, reserva las VLANs necesarias, muestra una vista previa, espera la confirmación, aplica los SSIDs en lote, verifica el resultado y entrega un resumen.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3724454" cy="6939811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454" cy="6939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Figura 5. Diagrama de secuencia: carga masiva de SSIDs vía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Secuencia 3 – Incidente, ticket y notificación. </w:t>
      </w:r>
      <w:r w:rsidDel="00000000" w:rsidR="00000000" w:rsidRPr="00000000">
        <w:rPr>
          <w:rtl w:val="0"/>
        </w:rPr>
        <w:t xml:space="preserve">El agente de monitoreo detecta una anomalía, genera la alerta, el agente de tickets crea el ticket y clasifica su criticidad, se notifica al equipo técnico y se hace seguimiento periódico hasta la resolución.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3581730" cy="6600352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730" cy="6600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Figura 6. Diagrama de secuencia: detección de incidente y generación de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bzbosas4t61c" w:id="8"/>
      <w:bookmarkEnd w:id="8"/>
      <w:r w:rsidDel="00000000" w:rsidR="00000000" w:rsidRPr="00000000">
        <w:rPr>
          <w:rtl w:val="0"/>
        </w:rPr>
        <w:t xml:space="preserve">Vista Despliegue</w:t>
      </w:r>
    </w:p>
    <w:p w:rsidR="00000000" w:rsidDel="00000000" w:rsidP="00000000" w:rsidRDefault="00000000" w:rsidRPr="00000000" w14:paraId="00000063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shoc265l0jvh" w:id="9"/>
      <w:bookmarkEnd w:id="9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El diagrama de componentes y despliegue muestra cómo se distribuye NetBot en la red local del evento: el navegador del usuario con el frontend React (Vite), el proxy inverso o túnel que expone el servicio de forma controlada, el backend FastAPI con sus módulos y agentes, la base de datos PostgreSQL, el controlador UniFi, el firewall OPNsense y el proveedor LLM externo (OpenRouter, Claude u otro compatible).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5612130" cy="1485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5612130" cy="1155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Figura 7. Diagrama de componentes y despliegue de NetBot.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3</w:t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Documento de Diseño </w:t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61DE5"/>
    <w:pPr>
      <w:keepNext w:val="1"/>
      <w:keepLines w:val="1"/>
      <w:numPr>
        <w:ilvl w:val="6"/>
        <w:numId w:val="12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61DE5"/>
    <w:pPr>
      <w:keepNext w:val="1"/>
      <w:keepLines w:val="1"/>
      <w:numPr>
        <w:ilvl w:val="7"/>
        <w:numId w:val="12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61DE5"/>
    <w:pPr>
      <w:keepNext w:val="1"/>
      <w:keepLines w:val="1"/>
      <w:numPr>
        <w:ilvl w:val="8"/>
        <w:numId w:val="12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rsid w:val="005A6AD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32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3604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3604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3604F"/>
    <w:rPr>
      <w:b w:val="1"/>
      <w:bCs w:val="1"/>
      <w:sz w:val="20"/>
      <w:szCs w:val="20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61DE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61DE5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61DE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tPbi6e5HRq2UCNvTmEsmPS22ZA==">CgMxLjAyDmguNDJ5em05dWp4M2o3Mg5oLmhpdjQwZHh4MTlkeDIOaC5uMGtnM2J2NWdqam0yDmguc2R3YXBnZm5kMzJiMg5oLjdxdW56ZmdsdG5xYTINaC5hYWJ5a3gzczRrczIOaC56MXVjcHh0OHBuNzEyDmgubW5mNnUwamxvd2c1Mg5oLmJ6Ym9zYXM0dDYxYzIOaC5zaG9jMjY1bDBqdmg4AHIhMWEyTDVuUGlwSW9oWlkwM3dfazRiMEVCb1ZvcldIbE5Z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