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AAA" w:rsidRPr="00A67AAA" w:rsidRDefault="00A67AAA" w:rsidP="00A67AAA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/>
          <w:sz w:val="34"/>
          <w:szCs w:val="34"/>
          <w:lang w:eastAsia="es-ES"/>
        </w:rPr>
      </w:pPr>
      <w:r w:rsidRPr="00A67AAA">
        <w:rPr>
          <w:rFonts w:eastAsia="Times New Roman" w:cs="Arial"/>
          <w:b/>
          <w:bCs/>
          <w:color w:val="000000"/>
          <w:sz w:val="34"/>
          <w:szCs w:val="34"/>
          <w:lang w:eastAsia="es-ES"/>
        </w:rPr>
        <w:t>3.3 Fuentes sobre la tecnología específica B</w:t>
      </w:r>
      <w:r w:rsidRPr="00A67AAA">
        <w:rPr>
          <w:rFonts w:eastAsia="Times New Roman" w:cs="Arial"/>
          <w:b/>
          <w:bCs/>
          <w:color w:val="000000"/>
          <w:sz w:val="34"/>
          <w:szCs w:val="34"/>
          <w:lang w:eastAsia="es-ES"/>
        </w:rPr>
        <w:br/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67AAA">
        <w:rPr>
          <w:rFonts w:eastAsia="Times New Roman" w:cs="Times New Roman"/>
          <w:noProof/>
          <w:sz w:val="28"/>
          <w:szCs w:val="24"/>
          <w:lang w:eastAsia="es-ES"/>
        </w:rPr>
        <w:drawing>
          <wp:anchor distT="0" distB="0" distL="114300" distR="114300" simplePos="0" relativeHeight="251658240" behindDoc="1" locked="0" layoutInCell="1" allowOverlap="1" wp14:anchorId="7FB6D0EA" wp14:editId="23799C44">
            <wp:simplePos x="0" y="0"/>
            <wp:positionH relativeFrom="column">
              <wp:posOffset>2991677</wp:posOffset>
            </wp:positionH>
            <wp:positionV relativeFrom="paragraph">
              <wp:posOffset>60872</wp:posOffset>
            </wp:positionV>
            <wp:extent cx="3115310" cy="1520190"/>
            <wp:effectExtent l="0" t="0" r="8890" b="3810"/>
            <wp:wrapTight wrapText="bothSides">
              <wp:wrapPolygon edited="0">
                <wp:start x="0" y="0"/>
                <wp:lineTo x="0" y="21383"/>
                <wp:lineTo x="21530" y="21383"/>
                <wp:lineTo x="21530" y="0"/>
                <wp:lineTo x="0" y="0"/>
              </wp:wrapPolygon>
            </wp:wrapTight>
            <wp:docPr id="1" name="Imagen 1" descr="https://lh4.googleusercontent.com/KxKzQT0iWJ5zxU_JSMRLHzCd62HIMerKo8n1yjs_k_flm-zcihJkmUVBuuW3T9R4kqKUdgVMh5lU8bNRhnc9MClVM-4PjuX-TGmlJx6-mBR2js-R3JpMwISEnqEQoP1NbqE00mZNLFRgHJtu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KxKzQT0iWJ5zxU_JSMRLHzCd62HIMerKo8n1yjs_k_flm-zcihJkmUVBuuW3T9R4kqKUdgVMh5lU8bNRhnc9MClVM-4PjuX-TGmlJx6-mBR2js-R3JpMwISEnqEQoP1NbqE00mZNLFRgHJtuj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7AAA">
        <w:rPr>
          <w:rFonts w:eastAsia="Times New Roman" w:cs="Arial"/>
          <w:color w:val="000000"/>
          <w:sz w:val="24"/>
          <w:lang w:eastAsia="es-ES"/>
        </w:rPr>
        <w:t xml:space="preserve">Oracle Data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(ODM) es una opción de Oracle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Corporation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Relational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Database Management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System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>. Contiene una serie de minería de datos y análisis de algoritmos para la clasificación, predicción, de regresión, las asociaciones, la función de selección. Proporciona medios para la creación, gestión y despliegue operativo de los modelos de minería de datos en el entorno de base de datos.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 xml:space="preserve">A parte de las mencionadas anteriormente, Oracle Data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contiene una serie de funciones como: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A67AAA" w:rsidRPr="00A67AAA" w:rsidRDefault="00A67AAA" w:rsidP="00A67AAA">
      <w:pPr>
        <w:numPr>
          <w:ilvl w:val="0"/>
          <w:numId w:val="1"/>
        </w:numPr>
        <w:spacing w:after="0" w:line="240" w:lineRule="auto"/>
        <w:ind w:left="709" w:hanging="283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Transformar datos y análisis del modelo de exploración, evaluación y análisis</w:t>
      </w:r>
    </w:p>
    <w:p w:rsidR="00A67AAA" w:rsidRPr="00A67AAA" w:rsidRDefault="00A67AAA" w:rsidP="00A67AAA">
      <w:pPr>
        <w:numPr>
          <w:ilvl w:val="0"/>
          <w:numId w:val="1"/>
        </w:numPr>
        <w:spacing w:after="0" w:line="240" w:lineRule="auto"/>
        <w:ind w:left="709" w:hanging="283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Selección de características</w:t>
      </w:r>
    </w:p>
    <w:p w:rsidR="00A67AAA" w:rsidRPr="00A67AAA" w:rsidRDefault="00A67AAA" w:rsidP="00A67AAA">
      <w:pPr>
        <w:numPr>
          <w:ilvl w:val="0"/>
          <w:numId w:val="1"/>
        </w:numPr>
        <w:spacing w:after="0" w:line="240" w:lineRule="auto"/>
        <w:ind w:left="709" w:hanging="283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Detección de problemas</w:t>
      </w:r>
    </w:p>
    <w:p w:rsidR="00A67AAA" w:rsidRPr="00A67AAA" w:rsidRDefault="00A67AAA" w:rsidP="00A67AAA">
      <w:pPr>
        <w:numPr>
          <w:ilvl w:val="0"/>
          <w:numId w:val="1"/>
        </w:numPr>
        <w:spacing w:after="0" w:line="240" w:lineRule="auto"/>
        <w:ind w:left="709" w:hanging="283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Regresión</w:t>
      </w:r>
    </w:p>
    <w:p w:rsidR="00A67AAA" w:rsidRPr="00A67AAA" w:rsidRDefault="00A67AAA" w:rsidP="00A67AAA">
      <w:pPr>
        <w:numPr>
          <w:ilvl w:val="0"/>
          <w:numId w:val="1"/>
        </w:numPr>
        <w:spacing w:after="0" w:line="240" w:lineRule="auto"/>
        <w:ind w:left="709" w:hanging="283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Extracción de características</w:t>
      </w:r>
    </w:p>
    <w:p w:rsidR="00A67AAA" w:rsidRPr="00A67AAA" w:rsidRDefault="00A67AAA" w:rsidP="00A67AAA">
      <w:pPr>
        <w:numPr>
          <w:ilvl w:val="0"/>
          <w:numId w:val="1"/>
        </w:numPr>
        <w:spacing w:after="0" w:line="240" w:lineRule="auto"/>
        <w:ind w:left="709" w:hanging="283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Texto y minería espacial</w:t>
      </w:r>
    </w:p>
    <w:p w:rsidR="00A67AAA" w:rsidRPr="00A67AAA" w:rsidRDefault="00A67AAA" w:rsidP="00A67AAA">
      <w:pPr>
        <w:numPr>
          <w:ilvl w:val="0"/>
          <w:numId w:val="1"/>
        </w:numPr>
        <w:spacing w:after="0" w:line="240" w:lineRule="auto"/>
        <w:ind w:left="709" w:hanging="283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Análisis especializados</w:t>
      </w:r>
    </w:p>
    <w:p w:rsidR="00A67AAA" w:rsidRPr="00A67AAA" w:rsidRDefault="00A67AAA" w:rsidP="00A67AAA">
      <w:pPr>
        <w:spacing w:after="24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A67AAA" w:rsidRPr="00A67AAA" w:rsidRDefault="00A67AAA" w:rsidP="00A67AAA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8"/>
          <w:szCs w:val="27"/>
          <w:lang w:eastAsia="es-ES"/>
        </w:rPr>
      </w:pPr>
      <w:r w:rsidRPr="00A67AAA">
        <w:rPr>
          <w:rFonts w:eastAsia="Times New Roman" w:cs="Arial"/>
          <w:b/>
          <w:bCs/>
          <w:color w:val="000000"/>
          <w:sz w:val="28"/>
          <w:szCs w:val="26"/>
          <w:lang w:eastAsia="es-ES"/>
        </w:rPr>
        <w:t>3.3.1 Fuente de información 1 sobre la tecnología específica B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hyperlink r:id="rId6" w:history="1">
        <w:r w:rsidRPr="00A67AAA">
          <w:rPr>
            <w:rFonts w:eastAsia="Times New Roman" w:cs="Arial"/>
            <w:color w:val="1155CC"/>
            <w:sz w:val="24"/>
            <w:u w:val="single"/>
            <w:lang w:eastAsia="es-ES"/>
          </w:rPr>
          <w:t>http://www.cs.utexas.edu/~cannata/dataSci/Class%20Notes/ODM%20Activity%20Guide.pdf</w:t>
        </w:r>
      </w:hyperlink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 xml:space="preserve">En esta fuente de información podemos ver cómo el autor nos muestra usar Oracle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DataBase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11g, un sistema de gestión de base de datos de tipo objeto-relacional desarrollado por Oracle.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Este sistema es considerado uno de los sistemas de base de datos más completos, destacando por ejemplo su soporte de transacciones, estabilidad, estabilidad y soporte multiplataforma.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 xml:space="preserve">Hasta que la competencia desarrolló su propio sistema, en este caso el Microsoft SQL Server, Oracle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DataBase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tenía un dominio en el mercado de servidores empresariales casi total.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 xml:space="preserve">Si entramos en la fuente de información, vemos como tenemos todo lo que necesitamos saber para saber utilizar a nivel completo este sistema. </w:t>
      </w:r>
    </w:p>
    <w:p w:rsidR="00A67AAA" w:rsidRDefault="00A67AAA" w:rsidP="00A67AAA">
      <w:pPr>
        <w:spacing w:after="0" w:line="240" w:lineRule="auto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 xml:space="preserve">Nos enseña desde los conceptos de data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y sus terminologías, hasta el proceso del data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mining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, la introducción al sistema Oracle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DataBase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11g, cómo detectar anomalías en el sistema, obtener los resultados, y mucho más.</w:t>
      </w:r>
    </w:p>
    <w:p w:rsidR="00A67AAA" w:rsidRPr="00A67AAA" w:rsidRDefault="00A67AAA" w:rsidP="00A67AAA">
      <w:pPr>
        <w:spacing w:after="0" w:line="240" w:lineRule="auto"/>
        <w:rPr>
          <w:rFonts w:eastAsia="Times New Roman" w:cs="Arial"/>
          <w:color w:val="000000"/>
          <w:sz w:val="24"/>
          <w:lang w:eastAsia="es-ES"/>
        </w:rPr>
      </w:pPr>
      <w:bookmarkStart w:id="0" w:name="_GoBack"/>
      <w:bookmarkEnd w:id="0"/>
      <w:r w:rsidRPr="00A67AAA">
        <w:rPr>
          <w:rFonts w:eastAsia="Times New Roman" w:cs="Arial"/>
          <w:b/>
          <w:bCs/>
          <w:color w:val="000000"/>
          <w:sz w:val="28"/>
          <w:szCs w:val="26"/>
          <w:lang w:eastAsia="es-ES"/>
        </w:rPr>
        <w:lastRenderedPageBreak/>
        <w:t>3.3.2 Fuente de información 2 sobre la tecnología específica B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hyperlink r:id="rId7" w:history="1">
        <w:r w:rsidRPr="00A67AAA">
          <w:rPr>
            <w:rFonts w:eastAsia="Times New Roman" w:cs="Arial"/>
            <w:color w:val="1155CC"/>
            <w:sz w:val="24"/>
            <w:u w:val="single"/>
            <w:lang w:eastAsia="es-ES"/>
          </w:rPr>
          <w:t>http://www.netapp.com/es/media/ds-2530-es.pdf</w:t>
        </w:r>
      </w:hyperlink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 xml:space="preserve">En esta segunda fuente de información nos encontramos con un software, llamado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SnapManager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, que automatiza y simplifica procesos de gestión manual de backup, restaura, recupera y clona base de datos Oracle con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SnapManager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>.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Este software nos ofrece por ejemplo:</w:t>
      </w:r>
    </w:p>
    <w:p w:rsidR="00A67AAA" w:rsidRPr="00A67AAA" w:rsidRDefault="00A67AAA" w:rsidP="00A67AAA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A67AAA" w:rsidRPr="00A67AAA" w:rsidRDefault="00A67AAA" w:rsidP="00A67AAA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Llevar a cabo una integración con tecnologías nativas de Oracle en varios protocolos de red</w:t>
      </w:r>
    </w:p>
    <w:p w:rsidR="00A67AAA" w:rsidRPr="00A67AAA" w:rsidRDefault="00A67AAA" w:rsidP="00A67AAA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 xml:space="preserve">Programar y automatizar </w:t>
      </w:r>
      <w:proofErr w:type="spellStart"/>
      <w:r w:rsidRPr="00A67AAA">
        <w:rPr>
          <w:rFonts w:eastAsia="Times New Roman" w:cs="Arial"/>
          <w:color w:val="000000"/>
          <w:sz w:val="24"/>
          <w:lang w:eastAsia="es-ES"/>
        </w:rPr>
        <w:t>backups</w:t>
      </w:r>
      <w:proofErr w:type="spellEnd"/>
      <w:r w:rsidRPr="00A67AAA">
        <w:rPr>
          <w:rFonts w:eastAsia="Times New Roman" w:cs="Arial"/>
          <w:color w:val="000000"/>
          <w:sz w:val="24"/>
          <w:lang w:eastAsia="es-ES"/>
        </w:rPr>
        <w:t xml:space="preserve"> frecuentes y permite una rápida restauración de volúmenes</w:t>
      </w:r>
    </w:p>
    <w:p w:rsidR="00A67AAA" w:rsidRPr="00A67AAA" w:rsidRDefault="00A67AAA" w:rsidP="00A67AAA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Crear clones en su almacenamiento primario o secundario</w:t>
      </w:r>
    </w:p>
    <w:p w:rsidR="00A67AAA" w:rsidRPr="00A67AAA" w:rsidRDefault="00A67AAA" w:rsidP="00A67AAA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>Habilitar la protección completa de los datos mediante automatización basada en políticas</w:t>
      </w:r>
    </w:p>
    <w:p w:rsidR="00A67AAA" w:rsidRPr="00A67AAA" w:rsidRDefault="00A67AAA" w:rsidP="00A67AAA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A67AAA">
        <w:rPr>
          <w:rFonts w:eastAsia="Times New Roman" w:cs="Arial"/>
          <w:color w:val="000000"/>
          <w:sz w:val="24"/>
          <w:lang w:eastAsia="es-ES"/>
        </w:rPr>
        <w:t xml:space="preserve">Entornos basados en bloques </w:t>
      </w:r>
    </w:p>
    <w:p w:rsidR="005B7FCF" w:rsidRDefault="00A67AAA"/>
    <w:sectPr w:rsidR="005B7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696F90"/>
    <w:multiLevelType w:val="multilevel"/>
    <w:tmpl w:val="72FA4B6E"/>
    <w:lvl w:ilvl="0">
      <w:start w:val="1"/>
      <w:numFmt w:val="bullet"/>
      <w:lvlText w:val=""/>
      <w:lvlJc w:val="left"/>
      <w:pPr>
        <w:tabs>
          <w:tab w:val="num" w:pos="12240"/>
        </w:tabs>
        <w:ind w:left="12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60"/>
        </w:tabs>
        <w:ind w:left="12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680"/>
        </w:tabs>
        <w:ind w:left="13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0"/>
        </w:tabs>
        <w:ind w:left="14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5120"/>
        </w:tabs>
        <w:ind w:left="15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5840"/>
        </w:tabs>
        <w:ind w:left="15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6560"/>
        </w:tabs>
        <w:ind w:left="16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7280"/>
        </w:tabs>
        <w:ind w:left="17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8000"/>
        </w:tabs>
        <w:ind w:left="180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66838"/>
    <w:multiLevelType w:val="multilevel"/>
    <w:tmpl w:val="0F1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67A"/>
    <w:rsid w:val="00A67AAA"/>
    <w:rsid w:val="00CF7F1D"/>
    <w:rsid w:val="00D42A2B"/>
    <w:rsid w:val="00DB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9664B1-D2D0-4E7D-83F0-CE3F43B1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67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67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67AA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67AA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67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67A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etapp.com/es/media/ds-2530-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s.utexas.edu/~cannata/dataSci/Class%20Notes/ODM%20Activity%20Guide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417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Portero Carrasco</dc:creator>
  <cp:keywords/>
  <dc:description/>
  <cp:lastModifiedBy>Daniel Portero Carrasco</cp:lastModifiedBy>
  <cp:revision>2</cp:revision>
  <dcterms:created xsi:type="dcterms:W3CDTF">2016-03-14T18:48:00Z</dcterms:created>
  <dcterms:modified xsi:type="dcterms:W3CDTF">2016-03-14T18:56:00Z</dcterms:modified>
</cp:coreProperties>
</file>