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olor w:val="5B9BD5" w:themeColor="accent1"/>
          <w:sz w:val="24"/>
          <w:lang w:eastAsia="en-US"/>
        </w:rPr>
        <w:id w:val="402649040"/>
        <w:docPartObj>
          <w:docPartGallery w:val="Cover Pages"/>
          <w:docPartUnique/>
        </w:docPartObj>
      </w:sdtPr>
      <w:sdtEndPr>
        <w:rPr>
          <w:color w:val="auto"/>
        </w:rPr>
      </w:sdtEndPr>
      <w:sdtContent>
        <w:p w:rsidR="003A5ED2" w:rsidRDefault="003A5ED2">
          <w:pPr>
            <w:pStyle w:val="Sinespaciado"/>
            <w:spacing w:before="1540" w:after="240"/>
            <w:jc w:val="center"/>
            <w:rPr>
              <w:color w:val="5B9BD5" w:themeColor="accent1"/>
            </w:rPr>
          </w:pPr>
          <w:r>
            <w:rPr>
              <w:noProof/>
              <w:color w:val="5B9BD5"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b/>
              <w:i/>
              <w:caps/>
              <w:color w:val="5B9BD5" w:themeColor="accent1"/>
              <w:sz w:val="96"/>
              <w:szCs w:val="72"/>
            </w:rPr>
            <w:alias w:val="Título"/>
            <w:tag w:val=""/>
            <w:id w:val="1735040861"/>
            <w:placeholder>
              <w:docPart w:val="955F8D950EFA4F3587DE2E549F10F9C9"/>
            </w:placeholder>
            <w:dataBinding w:prefixMappings="xmlns:ns0='http://purl.org/dc/elements/1.1/' xmlns:ns1='http://schemas.openxmlformats.org/package/2006/metadata/core-properties' " w:xpath="/ns1:coreProperties[1]/ns0:title[1]" w:storeItemID="{6C3C8BC8-F283-45AE-878A-BAB7291924A1}"/>
            <w:text/>
          </w:sdtPr>
          <w:sdtEndPr>
            <w:rPr>
              <w:szCs w:val="80"/>
            </w:rPr>
          </w:sdtEndPr>
          <w:sdtContent>
            <w:p w:rsidR="003A5ED2" w:rsidRPr="003A5ED2" w:rsidRDefault="003A5ED2">
              <w:pPr>
                <w:pStyle w:val="Sinespaciado"/>
                <w:pBdr>
                  <w:top w:val="single" w:sz="6" w:space="6" w:color="5B9BD5" w:themeColor="accent1"/>
                  <w:bottom w:val="single" w:sz="6" w:space="6" w:color="5B9BD5" w:themeColor="accent1"/>
                </w:pBdr>
                <w:spacing w:after="240"/>
                <w:jc w:val="center"/>
                <w:rPr>
                  <w:rFonts w:ascii="Times New Roman" w:eastAsiaTheme="majorEastAsia" w:hAnsi="Times New Roman" w:cs="Times New Roman"/>
                  <w:b/>
                  <w:i/>
                  <w:caps/>
                  <w:color w:val="5B9BD5" w:themeColor="accent1"/>
                  <w:sz w:val="96"/>
                  <w:szCs w:val="80"/>
                </w:rPr>
              </w:pPr>
              <w:r w:rsidRPr="003A5ED2">
                <w:rPr>
                  <w:rFonts w:ascii="Times New Roman" w:eastAsiaTheme="majorEastAsia" w:hAnsi="Times New Roman" w:cs="Times New Roman"/>
                  <w:b/>
                  <w:i/>
                  <w:caps/>
                  <w:color w:val="5B9BD5" w:themeColor="accent1"/>
                  <w:sz w:val="96"/>
                  <w:szCs w:val="72"/>
                </w:rPr>
                <w:t>Optimización del Rendimiento</w:t>
              </w:r>
            </w:p>
          </w:sdtContent>
        </w:sdt>
        <w:sdt>
          <w:sdtPr>
            <w:rPr>
              <w:rFonts w:ascii="Times New Roman" w:hAnsi="Times New Roman" w:cs="Times New Roman"/>
              <w:b/>
              <w:i/>
              <w:color w:val="5B9BD5" w:themeColor="accent1"/>
              <w:sz w:val="56"/>
              <w:szCs w:val="28"/>
            </w:rPr>
            <w:alias w:val="Subtítulo"/>
            <w:tag w:val=""/>
            <w:id w:val="328029620"/>
            <w:placeholder>
              <w:docPart w:val="490F55EC7637408C94A1EF7AF4F1EE9F"/>
            </w:placeholder>
            <w:dataBinding w:prefixMappings="xmlns:ns0='http://purl.org/dc/elements/1.1/' xmlns:ns1='http://schemas.openxmlformats.org/package/2006/metadata/core-properties' " w:xpath="/ns1:coreProperties[1]/ns0:subject[1]" w:storeItemID="{6C3C8BC8-F283-45AE-878A-BAB7291924A1}"/>
            <w:text/>
          </w:sdtPr>
          <w:sdtEndPr/>
          <w:sdtContent>
            <w:p w:rsidR="003A5ED2" w:rsidRPr="003A5ED2" w:rsidRDefault="003A5ED2">
              <w:pPr>
                <w:pStyle w:val="Sinespaciado"/>
                <w:jc w:val="center"/>
                <w:rPr>
                  <w:rFonts w:ascii="Times New Roman" w:hAnsi="Times New Roman" w:cs="Times New Roman"/>
                  <w:b/>
                  <w:i/>
                  <w:color w:val="5B9BD5" w:themeColor="accent1"/>
                  <w:sz w:val="56"/>
                  <w:szCs w:val="28"/>
                </w:rPr>
              </w:pPr>
              <w:r w:rsidRPr="003A5ED2">
                <w:rPr>
                  <w:rFonts w:ascii="Times New Roman" w:hAnsi="Times New Roman" w:cs="Times New Roman"/>
                  <w:b/>
                  <w:i/>
                  <w:color w:val="5B9BD5" w:themeColor="accent1"/>
                  <w:sz w:val="56"/>
                  <w:szCs w:val="28"/>
                </w:rPr>
                <w:t>Actividad 3</w:t>
              </w:r>
            </w:p>
          </w:sdtContent>
        </w:sdt>
        <w:p w:rsidR="003A5ED2" w:rsidRDefault="003A5ED2">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i/>
                                    <w:caps/>
                                    <w:color w:val="5B9BD5" w:themeColor="accent1"/>
                                    <w:sz w:val="32"/>
                                    <w:szCs w:val="32"/>
                                  </w:rPr>
                                  <w:alias w:val="Fecha"/>
                                  <w:tag w:val=""/>
                                  <w:id w:val="197127006"/>
                                  <w:dataBinding w:prefixMappings="xmlns:ns0='http://schemas.microsoft.com/office/2006/coverPageProps' " w:xpath="/ns0:CoverPageProperties[1]/ns0:PublishDate[1]" w:storeItemID="{55AF091B-3C7A-41E3-B477-F2FDAA23CFDA}"/>
                                  <w:date w:fullDate="2025-05-30T00:00:00Z">
                                    <w:dateFormat w:val="d 'de' MMMM 'de' yyyy"/>
                                    <w:lid w:val="es-ES"/>
                                    <w:storeMappedDataAs w:val="dateTime"/>
                                    <w:calendar w:val="gregorian"/>
                                  </w:date>
                                </w:sdtPr>
                                <w:sdtEndPr/>
                                <w:sdtContent>
                                  <w:p w:rsidR="003A5ED2" w:rsidRPr="003A5ED2" w:rsidRDefault="003A5ED2">
                                    <w:pPr>
                                      <w:pStyle w:val="Sinespaciado"/>
                                      <w:spacing w:after="40"/>
                                      <w:jc w:val="center"/>
                                      <w:rPr>
                                        <w:rFonts w:ascii="Times New Roman" w:hAnsi="Times New Roman" w:cs="Times New Roman"/>
                                        <w:b/>
                                        <w:i/>
                                        <w:caps/>
                                        <w:color w:val="5B9BD5" w:themeColor="accent1"/>
                                        <w:sz w:val="32"/>
                                        <w:szCs w:val="32"/>
                                      </w:rPr>
                                    </w:pPr>
                                    <w:r w:rsidRPr="003A5ED2">
                                      <w:rPr>
                                        <w:rFonts w:ascii="Times New Roman" w:hAnsi="Times New Roman" w:cs="Times New Roman"/>
                                        <w:b/>
                                        <w:i/>
                                        <w:caps/>
                                        <w:color w:val="5B9BD5" w:themeColor="accent1"/>
                                        <w:sz w:val="32"/>
                                        <w:szCs w:val="32"/>
                                      </w:rPr>
                                      <w:t>30 de mayo de 2025</w:t>
                                    </w:r>
                                  </w:p>
                                </w:sdtContent>
                              </w:sdt>
                              <w:p w:rsidR="003A5ED2" w:rsidRPr="003A5ED2" w:rsidRDefault="002F2CCB">
                                <w:pPr>
                                  <w:pStyle w:val="Sinespaciado"/>
                                  <w:jc w:val="center"/>
                                  <w:rPr>
                                    <w:rFonts w:ascii="Times New Roman" w:hAnsi="Times New Roman" w:cs="Times New Roman"/>
                                    <w:b/>
                                    <w:i/>
                                    <w:color w:val="5B9BD5" w:themeColor="accent1"/>
                                    <w:sz w:val="32"/>
                                    <w:szCs w:val="32"/>
                                  </w:rPr>
                                </w:pPr>
                                <w:sdt>
                                  <w:sdtPr>
                                    <w:rPr>
                                      <w:rFonts w:ascii="Times New Roman" w:hAnsi="Times New Roman" w:cs="Times New Roman"/>
                                      <w:b/>
                                      <w:i/>
                                      <w:caps/>
                                      <w:color w:val="5B9BD5" w:themeColor="accent1"/>
                                      <w:sz w:val="32"/>
                                      <w:szCs w:val="32"/>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3A5ED2" w:rsidRPr="003A5ED2">
                                      <w:rPr>
                                        <w:rFonts w:ascii="Times New Roman" w:hAnsi="Times New Roman" w:cs="Times New Roman"/>
                                        <w:b/>
                                        <w:i/>
                                        <w:caps/>
                                        <w:color w:val="5B9BD5" w:themeColor="accent1"/>
                                        <w:sz w:val="32"/>
                                        <w:szCs w:val="32"/>
                                      </w:rPr>
                                      <w:t>Grupo atu</w:t>
                                    </w:r>
                                  </w:sdtContent>
                                </w:sdt>
                              </w:p>
                              <w:p w:rsidR="003A5ED2" w:rsidRPr="003A5ED2" w:rsidRDefault="003A5ED2">
                                <w:pPr>
                                  <w:pStyle w:val="Sinespaciado"/>
                                  <w:jc w:val="center"/>
                                  <w:rPr>
                                    <w:rFonts w:ascii="Times New Roman" w:hAnsi="Times New Roman" w:cs="Times New Roman"/>
                                    <w:b/>
                                    <w:i/>
                                    <w:color w:val="5B9BD5" w:themeColor="accent1"/>
                                    <w:sz w:val="32"/>
                                    <w:szCs w:val="32"/>
                                  </w:rPr>
                                </w:pPr>
                                <w:r w:rsidRPr="003A5ED2">
                                  <w:rPr>
                                    <w:rFonts w:ascii="Times New Roman" w:hAnsi="Times New Roman" w:cs="Times New Roman"/>
                                    <w:b/>
                                    <w:i/>
                                    <w:color w:val="5B9BD5" w:themeColor="accent1"/>
                                    <w:sz w:val="32"/>
                                    <w:szCs w:val="32"/>
                                  </w:rPr>
                                  <w:t>Francisco Javier Otero Herrero</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rFonts w:ascii="Times New Roman" w:hAnsi="Times New Roman" w:cs="Times New Roman"/>
                              <w:b/>
                              <w:i/>
                              <w:caps/>
                              <w:color w:val="5B9BD5" w:themeColor="accent1"/>
                              <w:sz w:val="32"/>
                              <w:szCs w:val="32"/>
                            </w:rPr>
                            <w:alias w:val="Fecha"/>
                            <w:tag w:val=""/>
                            <w:id w:val="197127006"/>
                            <w:dataBinding w:prefixMappings="xmlns:ns0='http://schemas.microsoft.com/office/2006/coverPageProps' " w:xpath="/ns0:CoverPageProperties[1]/ns0:PublishDate[1]" w:storeItemID="{55AF091B-3C7A-41E3-B477-F2FDAA23CFDA}"/>
                            <w:date w:fullDate="2025-05-30T00:00:00Z">
                              <w:dateFormat w:val="d 'de' MMMM 'de' yyyy"/>
                              <w:lid w:val="es-ES"/>
                              <w:storeMappedDataAs w:val="dateTime"/>
                              <w:calendar w:val="gregorian"/>
                            </w:date>
                          </w:sdtPr>
                          <w:sdtEndPr/>
                          <w:sdtContent>
                            <w:p w:rsidR="003A5ED2" w:rsidRPr="003A5ED2" w:rsidRDefault="003A5ED2">
                              <w:pPr>
                                <w:pStyle w:val="Sinespaciado"/>
                                <w:spacing w:after="40"/>
                                <w:jc w:val="center"/>
                                <w:rPr>
                                  <w:rFonts w:ascii="Times New Roman" w:hAnsi="Times New Roman" w:cs="Times New Roman"/>
                                  <w:b/>
                                  <w:i/>
                                  <w:caps/>
                                  <w:color w:val="5B9BD5" w:themeColor="accent1"/>
                                  <w:sz w:val="32"/>
                                  <w:szCs w:val="32"/>
                                </w:rPr>
                              </w:pPr>
                              <w:r w:rsidRPr="003A5ED2">
                                <w:rPr>
                                  <w:rFonts w:ascii="Times New Roman" w:hAnsi="Times New Roman" w:cs="Times New Roman"/>
                                  <w:b/>
                                  <w:i/>
                                  <w:caps/>
                                  <w:color w:val="5B9BD5" w:themeColor="accent1"/>
                                  <w:sz w:val="32"/>
                                  <w:szCs w:val="32"/>
                                </w:rPr>
                                <w:t>30 de mayo de 2025</w:t>
                              </w:r>
                            </w:p>
                          </w:sdtContent>
                        </w:sdt>
                        <w:p w:rsidR="003A5ED2" w:rsidRPr="003A5ED2" w:rsidRDefault="002F2CCB">
                          <w:pPr>
                            <w:pStyle w:val="Sinespaciado"/>
                            <w:jc w:val="center"/>
                            <w:rPr>
                              <w:rFonts w:ascii="Times New Roman" w:hAnsi="Times New Roman" w:cs="Times New Roman"/>
                              <w:b/>
                              <w:i/>
                              <w:color w:val="5B9BD5" w:themeColor="accent1"/>
                              <w:sz w:val="32"/>
                              <w:szCs w:val="32"/>
                            </w:rPr>
                          </w:pPr>
                          <w:sdt>
                            <w:sdtPr>
                              <w:rPr>
                                <w:rFonts w:ascii="Times New Roman" w:hAnsi="Times New Roman" w:cs="Times New Roman"/>
                                <w:b/>
                                <w:i/>
                                <w:caps/>
                                <w:color w:val="5B9BD5" w:themeColor="accent1"/>
                                <w:sz w:val="32"/>
                                <w:szCs w:val="32"/>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3A5ED2" w:rsidRPr="003A5ED2">
                                <w:rPr>
                                  <w:rFonts w:ascii="Times New Roman" w:hAnsi="Times New Roman" w:cs="Times New Roman"/>
                                  <w:b/>
                                  <w:i/>
                                  <w:caps/>
                                  <w:color w:val="5B9BD5" w:themeColor="accent1"/>
                                  <w:sz w:val="32"/>
                                  <w:szCs w:val="32"/>
                                </w:rPr>
                                <w:t>Grupo atu</w:t>
                              </w:r>
                            </w:sdtContent>
                          </w:sdt>
                        </w:p>
                        <w:p w:rsidR="003A5ED2" w:rsidRPr="003A5ED2" w:rsidRDefault="003A5ED2">
                          <w:pPr>
                            <w:pStyle w:val="Sinespaciado"/>
                            <w:jc w:val="center"/>
                            <w:rPr>
                              <w:rFonts w:ascii="Times New Roman" w:hAnsi="Times New Roman" w:cs="Times New Roman"/>
                              <w:b/>
                              <w:i/>
                              <w:color w:val="5B9BD5" w:themeColor="accent1"/>
                              <w:sz w:val="32"/>
                              <w:szCs w:val="32"/>
                            </w:rPr>
                          </w:pPr>
                          <w:r w:rsidRPr="003A5ED2">
                            <w:rPr>
                              <w:rFonts w:ascii="Times New Roman" w:hAnsi="Times New Roman" w:cs="Times New Roman"/>
                              <w:b/>
                              <w:i/>
                              <w:color w:val="5B9BD5" w:themeColor="accent1"/>
                              <w:sz w:val="32"/>
                              <w:szCs w:val="32"/>
                            </w:rPr>
                            <w:t>Francisco Javier Otero Herrero</w:t>
                          </w:r>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3A5ED2" w:rsidRDefault="003A5ED2">
          <w:pPr>
            <w:spacing w:before="0" w:after="160"/>
            <w:jc w:val="left"/>
          </w:pPr>
          <w:r>
            <w:br w:type="page"/>
          </w:r>
        </w:p>
      </w:sdtContent>
    </w:sdt>
    <w:p w:rsidR="003A5ED2" w:rsidRDefault="003A5ED2" w:rsidP="00EA2AC4"/>
    <w:p w:rsidR="004E3763" w:rsidRDefault="003A5ED2" w:rsidP="00FE4BA4">
      <w:pPr>
        <w:spacing w:before="0" w:after="160"/>
        <w:jc w:val="left"/>
      </w:pPr>
      <w:r>
        <w:br w:type="page"/>
      </w:r>
    </w:p>
    <w:p w:rsidR="003A5ED2" w:rsidRPr="003A5ED2" w:rsidRDefault="003A5ED2" w:rsidP="003A5ED2">
      <w:pPr>
        <w:pStyle w:val="Ttulo1"/>
        <w:rPr>
          <w:i/>
          <w:sz w:val="52"/>
        </w:rPr>
      </w:pPr>
      <w:r w:rsidRPr="003A5ED2">
        <w:rPr>
          <w:i/>
          <w:sz w:val="52"/>
        </w:rPr>
        <w:lastRenderedPageBreak/>
        <w:t>Preguntas</w:t>
      </w:r>
    </w:p>
    <w:p w:rsidR="003A5ED2" w:rsidRDefault="003A5ED2" w:rsidP="003A5ED2">
      <w:pPr>
        <w:pStyle w:val="Prrafodelista"/>
        <w:numPr>
          <w:ilvl w:val="0"/>
          <w:numId w:val="1"/>
        </w:numPr>
        <w:rPr>
          <w:b/>
          <w:i/>
          <w:sz w:val="26"/>
          <w:szCs w:val="26"/>
        </w:rPr>
      </w:pPr>
      <w:r w:rsidRPr="003A5ED2">
        <w:rPr>
          <w:b/>
          <w:i/>
          <w:sz w:val="26"/>
          <w:szCs w:val="26"/>
        </w:rPr>
        <w:t xml:space="preserve">Indica las normas de seguridad y privacidad del servicio de usuario en un servicio de correo gratuito como Gmail. </w:t>
      </w:r>
    </w:p>
    <w:p w:rsidR="00FE4BA4" w:rsidRDefault="00FE4BA4" w:rsidP="00FE4BA4">
      <w:r w:rsidRPr="00FE4BA4">
        <w:rPr>
          <w:b/>
          <w:i/>
        </w:rPr>
        <w:t>Gmail,</w:t>
      </w:r>
      <w:r>
        <w:t xml:space="preserve"> al ser un servicio masivo y gratuito de Google, implementa una serie de normas y características de seguridad </w:t>
      </w:r>
      <w:r>
        <w:t>y privacidad para sus usuarios:</w:t>
      </w:r>
    </w:p>
    <w:p w:rsidR="00FE4BA4" w:rsidRPr="00FE4BA4" w:rsidRDefault="00FE4BA4" w:rsidP="00FE4BA4">
      <w:pPr>
        <w:pStyle w:val="Prrafodelista"/>
        <w:numPr>
          <w:ilvl w:val="0"/>
          <w:numId w:val="2"/>
        </w:numPr>
        <w:rPr>
          <w:b/>
          <w:i/>
          <w:sz w:val="28"/>
        </w:rPr>
      </w:pPr>
      <w:r w:rsidRPr="00FE4BA4">
        <w:rPr>
          <w:b/>
          <w:i/>
          <w:sz w:val="28"/>
        </w:rPr>
        <w:t>Seguridad</w:t>
      </w:r>
      <w:r w:rsidRPr="00FE4BA4">
        <w:rPr>
          <w:b/>
          <w:i/>
          <w:sz w:val="28"/>
        </w:rPr>
        <w:t>:</w:t>
      </w:r>
    </w:p>
    <w:p w:rsidR="00FE4BA4" w:rsidRDefault="00FE4BA4" w:rsidP="00FE4BA4">
      <w:pPr>
        <w:pStyle w:val="Prrafodelista"/>
        <w:numPr>
          <w:ilvl w:val="0"/>
          <w:numId w:val="3"/>
        </w:numPr>
      </w:pPr>
      <w:r w:rsidRPr="00FE4BA4">
        <w:rPr>
          <w:b/>
          <w:i/>
        </w:rPr>
        <w:t>Autenticación de Dos Factores (2FA/Verificación en dos pasos):</w:t>
      </w:r>
      <w:r>
        <w:t xml:space="preserve"> Permite al usuario añadir una capa extra de seguridad, requiriendo un segundo método de verificación (ej., código enviado al móvil) además de la contraseña.</w:t>
      </w:r>
    </w:p>
    <w:p w:rsidR="00FE4BA4" w:rsidRDefault="00FE4BA4" w:rsidP="00FE4BA4">
      <w:pPr>
        <w:pStyle w:val="Prrafodelista"/>
        <w:numPr>
          <w:ilvl w:val="0"/>
          <w:numId w:val="3"/>
        </w:numPr>
      </w:pPr>
      <w:r w:rsidRPr="00FE4BA4">
        <w:rPr>
          <w:b/>
          <w:i/>
        </w:rPr>
        <w:t>Detección de Actividad Sospechosa:</w:t>
      </w:r>
      <w:r>
        <w:t xml:space="preserve"> Google monitoriza patrones de inicio de sesión inusuales (ubicación, dispositivo) y notifica al usuario si detecta algo sospechoso.</w:t>
      </w:r>
    </w:p>
    <w:p w:rsidR="00FE4BA4" w:rsidRDefault="00FE4BA4" w:rsidP="00FE4BA4">
      <w:pPr>
        <w:pStyle w:val="Prrafodelista"/>
        <w:numPr>
          <w:ilvl w:val="0"/>
          <w:numId w:val="3"/>
        </w:numPr>
      </w:pPr>
      <w:r w:rsidRPr="00FE4BA4">
        <w:rPr>
          <w:b/>
          <w:i/>
        </w:rPr>
        <w:t>Cifrado de Correo (TLS):</w:t>
      </w:r>
      <w:r>
        <w:t xml:space="preserve"> Gmail cifra la comunicación entre sus servidores y otros servidores de correo cuando es posible </w:t>
      </w:r>
      <w:r w:rsidRPr="00FE4BA4">
        <w:rPr>
          <w:b/>
          <w:i/>
        </w:rPr>
        <w:t>(SMTP TLS),</w:t>
      </w:r>
      <w:r>
        <w:t xml:space="preserve"> protegiendo el correo en tránsito. El cifrado de extremo a extremo </w:t>
      </w:r>
      <w:r w:rsidRPr="00FE4BA4">
        <w:rPr>
          <w:b/>
          <w:i/>
        </w:rPr>
        <w:t>(E2EE)</w:t>
      </w:r>
      <w:r>
        <w:t xml:space="preserve"> no es el estándar para todos los correos, pero puede usarse con herramientas de terceros.</w:t>
      </w:r>
    </w:p>
    <w:p w:rsidR="00FE4BA4" w:rsidRDefault="00FE4BA4" w:rsidP="00FE4BA4">
      <w:pPr>
        <w:pStyle w:val="Prrafodelista"/>
        <w:numPr>
          <w:ilvl w:val="0"/>
          <w:numId w:val="3"/>
        </w:numPr>
      </w:pPr>
      <w:r w:rsidRPr="00FE4BA4">
        <w:rPr>
          <w:b/>
          <w:i/>
        </w:rPr>
        <w:t>Protección Antivirus y Antispam:</w:t>
      </w:r>
      <w:r>
        <w:t xml:space="preserve"> Google utiliza algoritmos avanzados para filtrar spam, phishing, malware y virus adjuntos en los correos antes de que lleguen a la bandeja de entrada del usuario.</w:t>
      </w:r>
    </w:p>
    <w:p w:rsidR="00FE4BA4" w:rsidRDefault="00FE4BA4" w:rsidP="00FE4BA4">
      <w:pPr>
        <w:pStyle w:val="Prrafodelista"/>
        <w:numPr>
          <w:ilvl w:val="0"/>
          <w:numId w:val="3"/>
        </w:numPr>
      </w:pPr>
      <w:r w:rsidRPr="00FE4BA4">
        <w:rPr>
          <w:b/>
          <w:i/>
        </w:rPr>
        <w:t>Alertas de Phishing y Enlaces Maliciosos:</w:t>
      </w:r>
      <w:r>
        <w:t xml:space="preserve"> Advertencias sobre enlaces o archivos adjuntos potencialmente peligrosos.</w:t>
      </w:r>
    </w:p>
    <w:p w:rsidR="00FE4BA4" w:rsidRDefault="00FE4BA4" w:rsidP="00FE4BA4">
      <w:pPr>
        <w:pStyle w:val="Prrafodelista"/>
        <w:numPr>
          <w:ilvl w:val="0"/>
          <w:numId w:val="3"/>
        </w:numPr>
      </w:pPr>
      <w:r w:rsidRPr="00FE4BA4">
        <w:rPr>
          <w:b/>
          <w:i/>
        </w:rPr>
        <w:t>Controles de Seguridad del Usuario:</w:t>
      </w:r>
      <w:r>
        <w:t xml:space="preserve"> Permite al usuario revisar dispositivos conectados, sesiones activas y conceder o revocar permisos a aplicaciones de terceros.</w:t>
      </w:r>
    </w:p>
    <w:p w:rsidR="00FE4BA4" w:rsidRDefault="00FE4BA4" w:rsidP="00FE4BA4">
      <w:pPr>
        <w:pStyle w:val="Prrafodelista"/>
      </w:pPr>
    </w:p>
    <w:p w:rsidR="00FE4BA4" w:rsidRPr="00FE4BA4" w:rsidRDefault="00FE4BA4" w:rsidP="00FE4BA4">
      <w:pPr>
        <w:pStyle w:val="Prrafodelista"/>
        <w:numPr>
          <w:ilvl w:val="0"/>
          <w:numId w:val="2"/>
        </w:numPr>
        <w:rPr>
          <w:b/>
          <w:i/>
          <w:sz w:val="28"/>
        </w:rPr>
      </w:pPr>
      <w:r w:rsidRPr="00FE4BA4">
        <w:rPr>
          <w:b/>
          <w:i/>
          <w:sz w:val="28"/>
        </w:rPr>
        <w:t>Privacidad:</w:t>
      </w:r>
    </w:p>
    <w:p w:rsidR="00FE4BA4" w:rsidRDefault="00FE4BA4" w:rsidP="00FE4BA4">
      <w:pPr>
        <w:pStyle w:val="Prrafodelista"/>
        <w:numPr>
          <w:ilvl w:val="0"/>
          <w:numId w:val="4"/>
        </w:numPr>
      </w:pPr>
      <w:r w:rsidRPr="00FE4BA4">
        <w:rPr>
          <w:b/>
          <w:i/>
        </w:rPr>
        <w:t>Política de Privacidad de Google:</w:t>
      </w:r>
      <w:r>
        <w:t xml:space="preserve"> Google detalla cómo recopila, usa y protege los datos de los usuarios. Afirman no utilizar el contenido de los correos para mostrar anuncios personalizados, aunque sí analizan el contenido para funciones inteligentes (Smart Reply, Smart Compose) y para la detección de spam/malware.</w:t>
      </w:r>
    </w:p>
    <w:p w:rsidR="00FE4BA4" w:rsidRDefault="00FE4BA4" w:rsidP="00FE4BA4">
      <w:pPr>
        <w:pStyle w:val="Prrafodelista"/>
        <w:numPr>
          <w:ilvl w:val="0"/>
          <w:numId w:val="4"/>
        </w:numPr>
      </w:pPr>
      <w:r w:rsidRPr="00FE4BA4">
        <w:rPr>
          <w:b/>
          <w:i/>
        </w:rPr>
        <w:t>Controles de Privacidad del Usuario:</w:t>
      </w:r>
      <w:r>
        <w:t xml:space="preserve"> Los usuarios pueden acceder a la configuración de su cuenta de Google para revisar y ajustar la recopilación de datos de actividad, historial de ubicaciones, etc.</w:t>
      </w:r>
    </w:p>
    <w:p w:rsidR="00FE4BA4" w:rsidRDefault="00FE4BA4" w:rsidP="00FE4BA4">
      <w:pPr>
        <w:pStyle w:val="Prrafodelista"/>
        <w:numPr>
          <w:ilvl w:val="0"/>
          <w:numId w:val="4"/>
        </w:numPr>
      </w:pPr>
      <w:r w:rsidRPr="00FE4BA4">
        <w:rPr>
          <w:b/>
          <w:i/>
        </w:rPr>
        <w:t>Consentimiento para el Uso de Datos:</w:t>
      </w:r>
      <w:r>
        <w:t xml:space="preserve"> La aceptación de los términos de servicio de Google implica el consentimiento para el procesamiento de datos según su política de privacidad.</w:t>
      </w:r>
    </w:p>
    <w:p w:rsidR="00FE4BA4" w:rsidRDefault="00FE4BA4" w:rsidP="00FE4BA4">
      <w:pPr>
        <w:pStyle w:val="Prrafodelista"/>
        <w:numPr>
          <w:ilvl w:val="0"/>
          <w:numId w:val="4"/>
        </w:numPr>
      </w:pPr>
      <w:r w:rsidRPr="00FE4BA4">
        <w:rPr>
          <w:b/>
          <w:i/>
        </w:rPr>
        <w:t>Transparencia:</w:t>
      </w:r>
      <w:r>
        <w:t xml:space="preserve"> Google publica informes de transparencia sobre solicitudes de datos gubernamentales y eliminación de contenido.</w:t>
      </w:r>
    </w:p>
    <w:p w:rsidR="003A5ED2" w:rsidRPr="00FE4BA4" w:rsidRDefault="00FE4BA4" w:rsidP="00FE4BA4">
      <w:pPr>
        <w:rPr>
          <w:i/>
        </w:rPr>
      </w:pPr>
      <w:r w:rsidRPr="00FE4BA4">
        <w:rPr>
          <w:i/>
        </w:rPr>
        <w:t>Gmail ofrece robustas características de seguridad para proteger la cuenta y el contenido, y una política de privacidad que, aunque compleja, ha evolucionado para dar más control y transparencia al usuario sobre el uso de sus datos.</w:t>
      </w:r>
    </w:p>
    <w:p w:rsidR="0022381B" w:rsidRDefault="0022381B" w:rsidP="0022381B">
      <w:bookmarkStart w:id="0" w:name="_GoBack"/>
      <w:bookmarkEnd w:id="0"/>
    </w:p>
    <w:p w:rsidR="003A5ED2" w:rsidRDefault="003A5ED2" w:rsidP="003A5ED2">
      <w:pPr>
        <w:pStyle w:val="Prrafodelista"/>
        <w:numPr>
          <w:ilvl w:val="0"/>
          <w:numId w:val="1"/>
        </w:numPr>
        <w:rPr>
          <w:b/>
          <w:i/>
          <w:sz w:val="26"/>
          <w:szCs w:val="26"/>
        </w:rPr>
      </w:pPr>
      <w:r w:rsidRPr="003A5ED2">
        <w:rPr>
          <w:b/>
          <w:i/>
          <w:sz w:val="26"/>
          <w:szCs w:val="26"/>
        </w:rPr>
        <w:t>Si disponemos de un servidor de correo electrónico montado con Exchange, ¿qué medidas tendrías en cuenta para la optimización de su rendimiento?</w:t>
      </w:r>
    </w:p>
    <w:p w:rsidR="00FE4BA4" w:rsidRDefault="00FE4BA4" w:rsidP="00FE4BA4">
      <w:r>
        <w:t>Para optimizar el rendimiento de un servidor Exchange, especialmente en un entorno de producción, se consid</w:t>
      </w:r>
      <w:r>
        <w:t>erarían las siguientes medidas:</w:t>
      </w:r>
    </w:p>
    <w:p w:rsidR="00FE4BA4" w:rsidRDefault="00FE4BA4" w:rsidP="00CC4671">
      <w:pPr>
        <w:pStyle w:val="Prrafodelista"/>
        <w:numPr>
          <w:ilvl w:val="0"/>
          <w:numId w:val="5"/>
        </w:numPr>
        <w:rPr>
          <w:b/>
          <w:i/>
        </w:rPr>
      </w:pPr>
      <w:r w:rsidRPr="00CC4671">
        <w:rPr>
          <w:b/>
          <w:i/>
        </w:rPr>
        <w:t>Recurs</w:t>
      </w:r>
      <w:r w:rsidRPr="00CC4671">
        <w:rPr>
          <w:b/>
          <w:i/>
        </w:rPr>
        <w:t>os de Hardware:</w:t>
      </w:r>
    </w:p>
    <w:p w:rsidR="00CC4671" w:rsidRPr="00CC4671" w:rsidRDefault="00CC4671" w:rsidP="00CC4671">
      <w:pPr>
        <w:pStyle w:val="Prrafodelista"/>
        <w:ind w:left="360"/>
        <w:rPr>
          <w:b/>
          <w:i/>
        </w:rPr>
      </w:pPr>
    </w:p>
    <w:p w:rsidR="00FE4BA4" w:rsidRDefault="00FE4BA4" w:rsidP="00CC4671">
      <w:pPr>
        <w:pStyle w:val="Prrafodelista"/>
        <w:numPr>
          <w:ilvl w:val="0"/>
          <w:numId w:val="6"/>
        </w:numPr>
      </w:pPr>
      <w:r w:rsidRPr="00CC4671">
        <w:rPr>
          <w:b/>
          <w:i/>
        </w:rPr>
        <w:t>RAM:</w:t>
      </w:r>
      <w:r>
        <w:t xml:space="preserve"> Asegurar que el servidor Exchange tenga la cantidad de RAM recomendada por Microsoft para el número de buzones y el rol (el factor más crítico para el rendimiento de Exchange).</w:t>
      </w:r>
    </w:p>
    <w:p w:rsidR="00FE4BA4" w:rsidRDefault="00FE4BA4" w:rsidP="00CC4671">
      <w:pPr>
        <w:pStyle w:val="Prrafodelista"/>
        <w:numPr>
          <w:ilvl w:val="0"/>
          <w:numId w:val="6"/>
        </w:numPr>
      </w:pPr>
      <w:r w:rsidRPr="00CC4671">
        <w:rPr>
          <w:b/>
          <w:i/>
        </w:rPr>
        <w:t>CPU:</w:t>
      </w:r>
      <w:r>
        <w:t xml:space="preserve"> Procesadores con suficientes núcleos y velocidad.</w:t>
      </w:r>
    </w:p>
    <w:p w:rsidR="00CC4671" w:rsidRPr="00CC4671" w:rsidRDefault="00FE4BA4" w:rsidP="00CC4671">
      <w:pPr>
        <w:pStyle w:val="Prrafodelista"/>
        <w:numPr>
          <w:ilvl w:val="0"/>
          <w:numId w:val="6"/>
        </w:numPr>
        <w:rPr>
          <w:b/>
          <w:i/>
        </w:rPr>
      </w:pPr>
      <w:r w:rsidRPr="00CC4671">
        <w:rPr>
          <w:b/>
          <w:i/>
        </w:rPr>
        <w:t>Almacenamiento (Discos):</w:t>
      </w:r>
    </w:p>
    <w:p w:rsidR="00CC4671" w:rsidRDefault="00CC4671" w:rsidP="00CC4671">
      <w:pPr>
        <w:pStyle w:val="Prrafodelista"/>
        <w:ind w:left="1352"/>
      </w:pPr>
    </w:p>
    <w:p w:rsidR="00FE4BA4" w:rsidRDefault="00FE4BA4" w:rsidP="00CC4671">
      <w:pPr>
        <w:pStyle w:val="Prrafodelista"/>
        <w:numPr>
          <w:ilvl w:val="0"/>
          <w:numId w:val="7"/>
        </w:numPr>
      </w:pPr>
      <w:r w:rsidRPr="00CC4671">
        <w:rPr>
          <w:b/>
          <w:i/>
        </w:rPr>
        <w:t>Utilizar SSD/NVMe</w:t>
      </w:r>
      <w:r>
        <w:t xml:space="preserve"> para bases de datos y registros de transacciones.</w:t>
      </w:r>
    </w:p>
    <w:p w:rsidR="00FE4BA4" w:rsidRDefault="00FE4BA4" w:rsidP="00CC4671">
      <w:pPr>
        <w:pStyle w:val="Prrafodelista"/>
        <w:numPr>
          <w:ilvl w:val="0"/>
          <w:numId w:val="7"/>
        </w:numPr>
      </w:pPr>
      <w:r>
        <w:t>Separar físicamente las bases de datos de buzones y los registros de transacciones en discos diferentes.</w:t>
      </w:r>
    </w:p>
    <w:p w:rsidR="00CC4671" w:rsidRDefault="00FE4BA4" w:rsidP="00CC4671">
      <w:pPr>
        <w:pStyle w:val="Prrafodelista"/>
        <w:numPr>
          <w:ilvl w:val="0"/>
          <w:numId w:val="7"/>
        </w:numPr>
      </w:pPr>
      <w:r w:rsidRPr="00CC4671">
        <w:rPr>
          <w:b/>
          <w:i/>
        </w:rPr>
        <w:t>Configurar RAID</w:t>
      </w:r>
      <w:r>
        <w:t xml:space="preserve"> adecuado para rendimiento y redundancia (ej., RAID 10 para bases de datos).</w:t>
      </w:r>
    </w:p>
    <w:p w:rsidR="00CC4671" w:rsidRDefault="00CC4671" w:rsidP="00CC4671">
      <w:pPr>
        <w:pStyle w:val="Prrafodelista"/>
        <w:ind w:left="1352"/>
      </w:pPr>
    </w:p>
    <w:p w:rsidR="00FE4BA4" w:rsidRDefault="00FE4BA4" w:rsidP="00CC4671">
      <w:pPr>
        <w:pStyle w:val="Prrafodelista"/>
        <w:numPr>
          <w:ilvl w:val="0"/>
          <w:numId w:val="5"/>
        </w:numPr>
        <w:rPr>
          <w:b/>
          <w:i/>
        </w:rPr>
      </w:pPr>
      <w:r w:rsidRPr="00CC4671">
        <w:rPr>
          <w:b/>
          <w:i/>
        </w:rPr>
        <w:t>Confi</w:t>
      </w:r>
      <w:r w:rsidRPr="00CC4671">
        <w:rPr>
          <w:b/>
          <w:i/>
        </w:rPr>
        <w:t>guración del Sistema Operativo:</w:t>
      </w:r>
    </w:p>
    <w:p w:rsidR="00CC4671" w:rsidRPr="00CC4671" w:rsidRDefault="00CC4671" w:rsidP="00CC4671">
      <w:pPr>
        <w:pStyle w:val="Prrafodelista"/>
        <w:ind w:left="360"/>
        <w:rPr>
          <w:b/>
          <w:i/>
        </w:rPr>
      </w:pPr>
    </w:p>
    <w:p w:rsidR="00FE4BA4" w:rsidRDefault="00FE4BA4" w:rsidP="00CC4671">
      <w:pPr>
        <w:pStyle w:val="Prrafodelista"/>
        <w:numPr>
          <w:ilvl w:val="0"/>
          <w:numId w:val="8"/>
        </w:numPr>
      </w:pPr>
      <w:r w:rsidRPr="00CC4671">
        <w:rPr>
          <w:b/>
          <w:i/>
        </w:rPr>
        <w:t>Actualizaciones:</w:t>
      </w:r>
      <w:r>
        <w:t xml:space="preserve"> Mantener Windows Server actualizado con los últimos parches de seguridad y rendimiento.</w:t>
      </w:r>
    </w:p>
    <w:p w:rsidR="00FE4BA4" w:rsidRDefault="00FE4BA4" w:rsidP="00CC4671">
      <w:pPr>
        <w:pStyle w:val="Prrafodelista"/>
        <w:numPr>
          <w:ilvl w:val="0"/>
          <w:numId w:val="8"/>
        </w:numPr>
      </w:pPr>
      <w:r w:rsidRPr="00CC4671">
        <w:rPr>
          <w:b/>
          <w:i/>
        </w:rPr>
        <w:t>Optimizaciones:</w:t>
      </w:r>
      <w:r>
        <w:t xml:space="preserve"> Ajustar la configuración de energía a "Alto rendimiento". Deshabilitar servicios de Windows innecesarios.</w:t>
      </w:r>
    </w:p>
    <w:p w:rsidR="00CC4671" w:rsidRDefault="00CC4671" w:rsidP="00CC4671">
      <w:pPr>
        <w:pStyle w:val="Prrafodelista"/>
      </w:pPr>
    </w:p>
    <w:p w:rsidR="00FE4BA4" w:rsidRDefault="00FE4BA4" w:rsidP="00CC4671">
      <w:pPr>
        <w:pStyle w:val="Prrafodelista"/>
        <w:numPr>
          <w:ilvl w:val="0"/>
          <w:numId w:val="5"/>
        </w:numPr>
        <w:rPr>
          <w:b/>
          <w:i/>
        </w:rPr>
      </w:pPr>
      <w:r w:rsidRPr="00CC4671">
        <w:rPr>
          <w:b/>
          <w:i/>
        </w:rPr>
        <w:t>Co</w:t>
      </w:r>
      <w:r w:rsidRPr="00CC4671">
        <w:rPr>
          <w:b/>
          <w:i/>
        </w:rPr>
        <w:t>nfiguración de Exchange Server:</w:t>
      </w:r>
    </w:p>
    <w:p w:rsidR="00CC4671" w:rsidRPr="00CC4671" w:rsidRDefault="00CC4671" w:rsidP="00CC4671">
      <w:pPr>
        <w:pStyle w:val="Prrafodelista"/>
        <w:ind w:left="360"/>
        <w:rPr>
          <w:b/>
          <w:i/>
        </w:rPr>
      </w:pPr>
    </w:p>
    <w:p w:rsidR="00FE4BA4" w:rsidRPr="00CC4671" w:rsidRDefault="00FE4BA4" w:rsidP="00CC4671">
      <w:pPr>
        <w:pStyle w:val="Prrafodelista"/>
        <w:numPr>
          <w:ilvl w:val="0"/>
          <w:numId w:val="9"/>
        </w:numPr>
        <w:rPr>
          <w:b/>
          <w:i/>
        </w:rPr>
      </w:pPr>
      <w:r w:rsidRPr="00CC4671">
        <w:rPr>
          <w:b/>
          <w:i/>
        </w:rPr>
        <w:t>Diseño de Bases de Datos:</w:t>
      </w:r>
    </w:p>
    <w:p w:rsidR="00CC4671" w:rsidRPr="00CC4671" w:rsidRDefault="00CC4671" w:rsidP="00CC4671">
      <w:pPr>
        <w:pStyle w:val="Prrafodelista"/>
      </w:pPr>
    </w:p>
    <w:p w:rsidR="00FE4BA4" w:rsidRDefault="00FE4BA4" w:rsidP="00CC4671">
      <w:pPr>
        <w:pStyle w:val="Prrafodelista"/>
        <w:numPr>
          <w:ilvl w:val="0"/>
          <w:numId w:val="10"/>
        </w:numPr>
      </w:pPr>
      <w:r>
        <w:t>Distribuir los buzones de manera uniforme entre varias bases de datos para equilibrar la carga de E/S.</w:t>
      </w:r>
    </w:p>
    <w:p w:rsidR="00FE4BA4" w:rsidRDefault="00FE4BA4" w:rsidP="00CC4671">
      <w:pPr>
        <w:pStyle w:val="Prrafodelista"/>
        <w:numPr>
          <w:ilvl w:val="0"/>
          <w:numId w:val="10"/>
        </w:numPr>
      </w:pPr>
      <w:r>
        <w:t>Limitar el tamaño de las bases de datos individuales.</w:t>
      </w:r>
    </w:p>
    <w:p w:rsidR="00CC4671" w:rsidRDefault="00CC4671" w:rsidP="00CC4671">
      <w:pPr>
        <w:pStyle w:val="Prrafodelista"/>
        <w:ind w:left="1494"/>
      </w:pPr>
    </w:p>
    <w:p w:rsidR="00FE4BA4" w:rsidRDefault="00FE4BA4" w:rsidP="00CC4671">
      <w:pPr>
        <w:pStyle w:val="Prrafodelista"/>
        <w:numPr>
          <w:ilvl w:val="0"/>
          <w:numId w:val="9"/>
        </w:numPr>
      </w:pPr>
      <w:r w:rsidRPr="00CC4671">
        <w:rPr>
          <w:b/>
          <w:i/>
        </w:rPr>
        <w:t>Cuotas de Buzón:</w:t>
      </w:r>
      <w:r>
        <w:t xml:space="preserve"> Implementar cuotas de almacenamiento (advertencia, prohibición de envío, prohibición de envío/recepción) para evitar que buzones individuales crezcan excesivamente y degraden el rendimiento de la base de datos.</w:t>
      </w:r>
    </w:p>
    <w:p w:rsidR="00FE4BA4" w:rsidRPr="00CC4671" w:rsidRDefault="00FE4BA4" w:rsidP="00CC4671">
      <w:pPr>
        <w:pStyle w:val="Prrafodelista"/>
        <w:numPr>
          <w:ilvl w:val="0"/>
          <w:numId w:val="9"/>
        </w:numPr>
        <w:rPr>
          <w:b/>
          <w:i/>
        </w:rPr>
      </w:pPr>
      <w:r w:rsidRPr="00CC4671">
        <w:rPr>
          <w:b/>
          <w:i/>
        </w:rPr>
        <w:t>Mantenimiento de Bases de Datos:</w:t>
      </w:r>
    </w:p>
    <w:p w:rsidR="00CC4671" w:rsidRPr="00CC4671" w:rsidRDefault="00CC4671" w:rsidP="00CC4671">
      <w:pPr>
        <w:pStyle w:val="Prrafodelista"/>
      </w:pPr>
    </w:p>
    <w:p w:rsidR="00FE4BA4" w:rsidRDefault="00FE4BA4" w:rsidP="00CC4671">
      <w:pPr>
        <w:pStyle w:val="Prrafodelista"/>
        <w:numPr>
          <w:ilvl w:val="0"/>
          <w:numId w:val="11"/>
        </w:numPr>
      </w:pPr>
      <w:r>
        <w:t>Programar desfragmentación de bases de datos si es necesario (aunque el ESE de Exchange lo gestiona en gran medida).</w:t>
      </w:r>
    </w:p>
    <w:p w:rsidR="00FE4BA4" w:rsidRDefault="00FE4BA4" w:rsidP="00CC4671">
      <w:pPr>
        <w:pStyle w:val="Prrafodelista"/>
        <w:numPr>
          <w:ilvl w:val="0"/>
          <w:numId w:val="11"/>
        </w:numPr>
      </w:pPr>
      <w:r>
        <w:t>Supervisar el espacio en blanco disponible en las bases de datos.</w:t>
      </w:r>
    </w:p>
    <w:p w:rsidR="00CC4671" w:rsidRDefault="00CC4671">
      <w:pPr>
        <w:spacing w:before="0" w:after="160" w:line="259" w:lineRule="auto"/>
        <w:jc w:val="left"/>
      </w:pPr>
      <w:r>
        <w:br w:type="page"/>
      </w:r>
    </w:p>
    <w:p w:rsidR="00CC4671" w:rsidRDefault="00CC4671" w:rsidP="00CC4671"/>
    <w:p w:rsidR="00FE4BA4" w:rsidRDefault="00FE4BA4" w:rsidP="00CC4671">
      <w:pPr>
        <w:pStyle w:val="Prrafodelista"/>
        <w:numPr>
          <w:ilvl w:val="0"/>
          <w:numId w:val="9"/>
        </w:numPr>
      </w:pPr>
      <w:r w:rsidRPr="00CC4671">
        <w:rPr>
          <w:b/>
          <w:i/>
        </w:rPr>
        <w:t>Registros de Transacciones (Logs):</w:t>
      </w:r>
      <w:r>
        <w:t xml:space="preserve"> Configurar y supervisar el ciclo de vida de los logs para evitar que llenen los discos. Asegurarse de que las copias de seguridad de Exchange estén funcionando correctamente, ya que purgan los logs de transacciones.</w:t>
      </w:r>
    </w:p>
    <w:p w:rsidR="00CC4671" w:rsidRDefault="00FE4BA4" w:rsidP="00CC4671">
      <w:pPr>
        <w:pStyle w:val="Prrafodelista"/>
        <w:numPr>
          <w:ilvl w:val="0"/>
          <w:numId w:val="9"/>
        </w:numPr>
      </w:pPr>
      <w:r w:rsidRPr="00CC4671">
        <w:rPr>
          <w:b/>
          <w:i/>
        </w:rPr>
        <w:t>Antivirus y Antispam:</w:t>
      </w:r>
      <w:r>
        <w:t xml:space="preserve"> Asegurarse de que el software antivirus está configurado para excluir las carpetas de Exchange (bases de datos, logs, etc.) para evitar conflictos de rendimiento y corrupción de datos. Utilizar soluciones de seguridad de correo optimizadas para Exchange.</w:t>
      </w:r>
    </w:p>
    <w:p w:rsidR="00CC4671" w:rsidRDefault="00CC4671" w:rsidP="00CC4671">
      <w:pPr>
        <w:pStyle w:val="Prrafodelista"/>
      </w:pPr>
    </w:p>
    <w:p w:rsidR="00FE4BA4" w:rsidRDefault="00FE4BA4" w:rsidP="00CC4671">
      <w:pPr>
        <w:pStyle w:val="Prrafodelista"/>
        <w:numPr>
          <w:ilvl w:val="0"/>
          <w:numId w:val="5"/>
        </w:numPr>
        <w:rPr>
          <w:b/>
          <w:i/>
        </w:rPr>
      </w:pPr>
      <w:r w:rsidRPr="00CC4671">
        <w:rPr>
          <w:b/>
          <w:i/>
        </w:rPr>
        <w:t>Monitoreo y Ajuste Continuo:</w:t>
      </w:r>
    </w:p>
    <w:p w:rsidR="00CC4671" w:rsidRPr="00CC4671" w:rsidRDefault="00CC4671" w:rsidP="00CC4671">
      <w:pPr>
        <w:pStyle w:val="Prrafodelista"/>
        <w:ind w:left="360"/>
        <w:rPr>
          <w:b/>
          <w:i/>
        </w:rPr>
      </w:pPr>
    </w:p>
    <w:p w:rsidR="00FE4BA4" w:rsidRDefault="00FE4BA4" w:rsidP="00CC4671">
      <w:pPr>
        <w:pStyle w:val="Prrafodelista"/>
        <w:numPr>
          <w:ilvl w:val="0"/>
          <w:numId w:val="12"/>
        </w:numPr>
      </w:pPr>
      <w:r w:rsidRPr="00CC4671">
        <w:rPr>
          <w:b/>
          <w:i/>
        </w:rPr>
        <w:t>Supervisión de Rendimiento:</w:t>
      </w:r>
      <w:r>
        <w:t xml:space="preserve"> Utilizar el Monitor de Rendimiento de Windows y las herramientas de monitoreo de Exchange para vigilar métricas clave (uso de CPU, RAM, E/S de disco, latencia de bases de datos, colas de transporte).</w:t>
      </w:r>
    </w:p>
    <w:p w:rsidR="00FE4BA4" w:rsidRDefault="00FE4BA4" w:rsidP="00CC4671">
      <w:pPr>
        <w:pStyle w:val="Prrafodelista"/>
        <w:numPr>
          <w:ilvl w:val="0"/>
          <w:numId w:val="12"/>
        </w:numPr>
      </w:pPr>
      <w:r w:rsidRPr="00CC4671">
        <w:rPr>
          <w:b/>
          <w:i/>
        </w:rPr>
        <w:t>Informes:</w:t>
      </w:r>
      <w:r>
        <w:t xml:space="preserve"> Analizar informes de buzones, uso de espacio y flujos de correo.</w:t>
      </w:r>
    </w:p>
    <w:p w:rsidR="00FE4BA4" w:rsidRDefault="00FE4BA4" w:rsidP="00CC4671">
      <w:pPr>
        <w:pStyle w:val="Prrafodelista"/>
        <w:numPr>
          <w:ilvl w:val="0"/>
          <w:numId w:val="12"/>
        </w:numPr>
      </w:pPr>
      <w:r w:rsidRPr="00CC4671">
        <w:rPr>
          <w:b/>
          <w:i/>
        </w:rPr>
        <w:t>Ajuste Fino:</w:t>
      </w:r>
      <w:r>
        <w:t xml:space="preserve"> Basado en el monitoreo, realizar ajustes (ej., mover buzones, ajustar cuotas, revisar políticas).</w:t>
      </w:r>
    </w:p>
    <w:p w:rsidR="003A5ED2" w:rsidRPr="00CC4671" w:rsidRDefault="00FE4BA4" w:rsidP="00FE4BA4">
      <w:pPr>
        <w:rPr>
          <w:i/>
        </w:rPr>
      </w:pPr>
      <w:r w:rsidRPr="00CC4671">
        <w:rPr>
          <w:i/>
        </w:rPr>
        <w:t xml:space="preserve">En esencia, la optimización del rendimiento en Exchange se basa en asegurar recursos de hardware adecuados, configurar correctamente el sistema operativo y el propio Exchange, y realizar un monitoreo y </w:t>
      </w:r>
      <w:r w:rsidRPr="00CC4671">
        <w:rPr>
          <w:i/>
        </w:rPr>
        <w:t>mantenimiento proactivo</w:t>
      </w:r>
      <w:r w:rsidRPr="00CC4671">
        <w:rPr>
          <w:i/>
        </w:rPr>
        <w:t>.</w:t>
      </w:r>
    </w:p>
    <w:sectPr w:rsidR="003A5ED2" w:rsidRPr="00CC4671" w:rsidSect="003A5ED2">
      <w:headerReference w:type="default" r:id="rId10"/>
      <w:footerReference w:type="default" r:id="rId11"/>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2CCB" w:rsidRDefault="002F2CCB" w:rsidP="00604736">
      <w:pPr>
        <w:spacing w:before="0" w:after="0"/>
      </w:pPr>
      <w:r>
        <w:separator/>
      </w:r>
    </w:p>
  </w:endnote>
  <w:endnote w:type="continuationSeparator" w:id="0">
    <w:p w:rsidR="002F2CCB" w:rsidRDefault="002F2CCB"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Default="00CC4671">
    <w:pPr>
      <w:pStyle w:val="Piedepgina"/>
    </w:pPr>
    <w:r>
      <w:fldChar w:fldCharType="begin"/>
    </w:r>
    <w:r>
      <w:instrText>PAGE   \* MERGEFORMAT</w:instrText>
    </w:r>
    <w:r>
      <w:fldChar w:fldCharType="separate"/>
    </w:r>
    <w:r w:rsidR="0022381B">
      <w:rPr>
        <w:noProof/>
      </w:rPr>
      <w:t>3</w:t>
    </w:r>
    <w:r>
      <w:fldChar w:fldCharType="end"/>
    </w:r>
    <w:r w:rsidR="00EA2AC4">
      <w:rPr>
        <w:noProof/>
        <w:lang w:eastAsia="es-ES"/>
      </w:rPr>
      <mc:AlternateContent>
        <mc:Choice Requires="wpg">
          <w:drawing>
            <wp:anchor distT="0" distB="0" distL="114300" distR="114300" simplePos="0" relativeHeight="251662336" behindDoc="0" locked="0" layoutInCell="1" allowOverlap="1">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2F2CCB"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3A5ED2">
                                  <w:rPr>
                                    <w:rFonts w:ascii="Times New Roman" w:hAnsi="Times New Roman" w:cs="Times New Roman"/>
                                    <w:b/>
                                    <w:i/>
                                    <w:sz w:val="28"/>
                                    <w:szCs w:val="28"/>
                                  </w:rPr>
                                  <w:t>Usuario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155" o:spid="_x0000_s1028"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2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0"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2F2CCB"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3A5ED2">
                            <w:rPr>
                              <w:rFonts w:ascii="Times New Roman" w:hAnsi="Times New Roman" w:cs="Times New Roman"/>
                              <w:b/>
                              <w:i/>
                              <w:sz w:val="28"/>
                              <w:szCs w:val="28"/>
                            </w:rPr>
                            <w:t>Usuario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2CCB" w:rsidRDefault="002F2CCB" w:rsidP="00604736">
      <w:pPr>
        <w:spacing w:before="0" w:after="0"/>
      </w:pPr>
      <w:r>
        <w:separator/>
      </w:r>
    </w:p>
  </w:footnote>
  <w:footnote w:type="continuationSeparator" w:id="0">
    <w:p w:rsidR="002F2CCB" w:rsidRDefault="002F2CCB"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14:anchorId="1C6C6A0E" wp14:editId="062D6B43">
              <wp:simplePos x="0" y="0"/>
              <wp:positionH relativeFrom="margin">
                <wp:align>right</wp:align>
              </wp:positionH>
              <wp:positionV relativeFrom="topMargin">
                <wp:posOffset>361950</wp:posOffset>
              </wp:positionV>
              <wp:extent cx="5400675" cy="447675"/>
              <wp:effectExtent l="0" t="0" r="0" b="9525"/>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3A5ED2" w:rsidP="00EA2AC4">
                              <w:pPr>
                                <w:spacing w:after="0"/>
                                <w:jc w:val="center"/>
                              </w:pPr>
                              <w:r>
                                <w:rPr>
                                  <w:rFonts w:ascii="Times New Roman" w:hAnsi="Times New Roman" w:cs="Times New Roman"/>
                                  <w:b/>
                                  <w:i/>
                                  <w:sz w:val="44"/>
                                  <w:szCs w:val="44"/>
                                  <w:u w:val="single"/>
                                </w:rPr>
                                <w:t>Optimización del Rendimiento</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w14:anchorId="1C6C6A0E" id="_x0000_t202" coordsize="21600,21600" o:spt="202" path="m,l,21600r21600,l21600,xe">
              <v:stroke joinstyle="miter"/>
              <v:path gradientshapeok="t" o:connecttype="rect"/>
            </v:shapetype>
            <v:shape id="Cuadro de texto 218" o:spid="_x0000_s1027" type="#_x0000_t202" style="position:absolute;left:0;text-align:left;margin-left:374.05pt;margin-top:28.5pt;width:425.25pt;height:35.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" o:allowincell="f" filled="f" stroked="f">
              <v:textbox inset=",0,,0">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3A5ED2" w:rsidP="00EA2AC4">
                        <w:pPr>
                          <w:spacing w:after="0"/>
                          <w:jc w:val="center"/>
                        </w:pPr>
                        <w:r>
                          <w:rPr>
                            <w:rFonts w:ascii="Times New Roman" w:hAnsi="Times New Roman" w:cs="Times New Roman"/>
                            <w:b/>
                            <w:i/>
                            <w:sz w:val="44"/>
                            <w:szCs w:val="44"/>
                            <w:u w:val="single"/>
                          </w:rPr>
                          <w:t>Optimización del Rendimiento</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17395"/>
    <w:multiLevelType w:val="hybridMultilevel"/>
    <w:tmpl w:val="B74427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AA2A37"/>
    <w:multiLevelType w:val="hybridMultilevel"/>
    <w:tmpl w:val="9154E102"/>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C482A97"/>
    <w:multiLevelType w:val="hybridMultilevel"/>
    <w:tmpl w:val="41026F82"/>
    <w:lvl w:ilvl="0" w:tplc="8A1E00FE">
      <w:start w:val="1"/>
      <w:numFmt w:val="bullet"/>
      <w:lvlText w:val=""/>
      <w:lvlJc w:val="left"/>
      <w:pPr>
        <w:ind w:left="1352" w:hanging="360"/>
      </w:pPr>
      <w:rPr>
        <w:rFonts w:ascii="Symbol" w:hAnsi="Symbol" w:hint="default"/>
      </w:rPr>
    </w:lvl>
    <w:lvl w:ilvl="1" w:tplc="0C0A0003" w:tentative="1">
      <w:start w:val="1"/>
      <w:numFmt w:val="bullet"/>
      <w:lvlText w:val="o"/>
      <w:lvlJc w:val="left"/>
      <w:pPr>
        <w:ind w:left="2072" w:hanging="360"/>
      </w:pPr>
      <w:rPr>
        <w:rFonts w:ascii="Courier New" w:hAnsi="Courier New" w:cs="Courier New" w:hint="default"/>
      </w:rPr>
    </w:lvl>
    <w:lvl w:ilvl="2" w:tplc="0C0A0005" w:tentative="1">
      <w:start w:val="1"/>
      <w:numFmt w:val="bullet"/>
      <w:lvlText w:val=""/>
      <w:lvlJc w:val="left"/>
      <w:pPr>
        <w:ind w:left="2792" w:hanging="360"/>
      </w:pPr>
      <w:rPr>
        <w:rFonts w:ascii="Wingdings" w:hAnsi="Wingdings" w:hint="default"/>
      </w:rPr>
    </w:lvl>
    <w:lvl w:ilvl="3" w:tplc="0C0A0001" w:tentative="1">
      <w:start w:val="1"/>
      <w:numFmt w:val="bullet"/>
      <w:lvlText w:val=""/>
      <w:lvlJc w:val="left"/>
      <w:pPr>
        <w:ind w:left="3512" w:hanging="360"/>
      </w:pPr>
      <w:rPr>
        <w:rFonts w:ascii="Symbol" w:hAnsi="Symbol" w:hint="default"/>
      </w:rPr>
    </w:lvl>
    <w:lvl w:ilvl="4" w:tplc="0C0A0003" w:tentative="1">
      <w:start w:val="1"/>
      <w:numFmt w:val="bullet"/>
      <w:lvlText w:val="o"/>
      <w:lvlJc w:val="left"/>
      <w:pPr>
        <w:ind w:left="4232" w:hanging="360"/>
      </w:pPr>
      <w:rPr>
        <w:rFonts w:ascii="Courier New" w:hAnsi="Courier New" w:cs="Courier New" w:hint="default"/>
      </w:rPr>
    </w:lvl>
    <w:lvl w:ilvl="5" w:tplc="0C0A0005" w:tentative="1">
      <w:start w:val="1"/>
      <w:numFmt w:val="bullet"/>
      <w:lvlText w:val=""/>
      <w:lvlJc w:val="left"/>
      <w:pPr>
        <w:ind w:left="4952" w:hanging="360"/>
      </w:pPr>
      <w:rPr>
        <w:rFonts w:ascii="Wingdings" w:hAnsi="Wingdings" w:hint="default"/>
      </w:rPr>
    </w:lvl>
    <w:lvl w:ilvl="6" w:tplc="0C0A0001" w:tentative="1">
      <w:start w:val="1"/>
      <w:numFmt w:val="bullet"/>
      <w:lvlText w:val=""/>
      <w:lvlJc w:val="left"/>
      <w:pPr>
        <w:ind w:left="5672" w:hanging="360"/>
      </w:pPr>
      <w:rPr>
        <w:rFonts w:ascii="Symbol" w:hAnsi="Symbol" w:hint="default"/>
      </w:rPr>
    </w:lvl>
    <w:lvl w:ilvl="7" w:tplc="0C0A0003" w:tentative="1">
      <w:start w:val="1"/>
      <w:numFmt w:val="bullet"/>
      <w:lvlText w:val="o"/>
      <w:lvlJc w:val="left"/>
      <w:pPr>
        <w:ind w:left="6392" w:hanging="360"/>
      </w:pPr>
      <w:rPr>
        <w:rFonts w:ascii="Courier New" w:hAnsi="Courier New" w:cs="Courier New" w:hint="default"/>
      </w:rPr>
    </w:lvl>
    <w:lvl w:ilvl="8" w:tplc="0C0A0005" w:tentative="1">
      <w:start w:val="1"/>
      <w:numFmt w:val="bullet"/>
      <w:lvlText w:val=""/>
      <w:lvlJc w:val="left"/>
      <w:pPr>
        <w:ind w:left="7112" w:hanging="360"/>
      </w:pPr>
      <w:rPr>
        <w:rFonts w:ascii="Wingdings" w:hAnsi="Wingdings" w:hint="default"/>
      </w:rPr>
    </w:lvl>
  </w:abstractNum>
  <w:abstractNum w:abstractNumId="3" w15:restartNumberingAfterBreak="0">
    <w:nsid w:val="31A07CDF"/>
    <w:multiLevelType w:val="hybridMultilevel"/>
    <w:tmpl w:val="97F2B928"/>
    <w:lvl w:ilvl="0" w:tplc="8A1E00FE">
      <w:start w:val="1"/>
      <w:numFmt w:val="bullet"/>
      <w:lvlText w:val=""/>
      <w:lvlJc w:val="left"/>
      <w:pPr>
        <w:ind w:left="1494" w:hanging="360"/>
      </w:pPr>
      <w:rPr>
        <w:rFonts w:ascii="Symbol" w:hAnsi="Symbol"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4" w15:restartNumberingAfterBreak="0">
    <w:nsid w:val="421C7029"/>
    <w:multiLevelType w:val="hybridMultilevel"/>
    <w:tmpl w:val="2D34A25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5B7339F"/>
    <w:multiLevelType w:val="hybridMultilevel"/>
    <w:tmpl w:val="281ADB26"/>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4705585E"/>
    <w:multiLevelType w:val="hybridMultilevel"/>
    <w:tmpl w:val="9F0043A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7E30EAB"/>
    <w:multiLevelType w:val="hybridMultilevel"/>
    <w:tmpl w:val="F1529CB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B575ACC"/>
    <w:multiLevelType w:val="hybridMultilevel"/>
    <w:tmpl w:val="40E87040"/>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CDD5435"/>
    <w:multiLevelType w:val="hybridMultilevel"/>
    <w:tmpl w:val="8BE2CB5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DE3230E"/>
    <w:multiLevelType w:val="hybridMultilevel"/>
    <w:tmpl w:val="00D8C5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E1D1CB6"/>
    <w:multiLevelType w:val="hybridMultilevel"/>
    <w:tmpl w:val="31282032"/>
    <w:lvl w:ilvl="0" w:tplc="8A1E00FE">
      <w:start w:val="1"/>
      <w:numFmt w:val="bullet"/>
      <w:lvlText w:val=""/>
      <w:lvlJc w:val="left"/>
      <w:pPr>
        <w:ind w:left="1636" w:hanging="360"/>
      </w:pPr>
      <w:rPr>
        <w:rFonts w:ascii="Symbol" w:hAnsi="Symbol" w:hint="default"/>
      </w:rPr>
    </w:lvl>
    <w:lvl w:ilvl="1" w:tplc="0C0A0003" w:tentative="1">
      <w:start w:val="1"/>
      <w:numFmt w:val="bullet"/>
      <w:lvlText w:val="o"/>
      <w:lvlJc w:val="left"/>
      <w:pPr>
        <w:ind w:left="2356" w:hanging="360"/>
      </w:pPr>
      <w:rPr>
        <w:rFonts w:ascii="Courier New" w:hAnsi="Courier New" w:cs="Courier New" w:hint="default"/>
      </w:rPr>
    </w:lvl>
    <w:lvl w:ilvl="2" w:tplc="0C0A0005" w:tentative="1">
      <w:start w:val="1"/>
      <w:numFmt w:val="bullet"/>
      <w:lvlText w:val=""/>
      <w:lvlJc w:val="left"/>
      <w:pPr>
        <w:ind w:left="3076" w:hanging="360"/>
      </w:pPr>
      <w:rPr>
        <w:rFonts w:ascii="Wingdings" w:hAnsi="Wingdings" w:hint="default"/>
      </w:rPr>
    </w:lvl>
    <w:lvl w:ilvl="3" w:tplc="0C0A0001" w:tentative="1">
      <w:start w:val="1"/>
      <w:numFmt w:val="bullet"/>
      <w:lvlText w:val=""/>
      <w:lvlJc w:val="left"/>
      <w:pPr>
        <w:ind w:left="3796" w:hanging="360"/>
      </w:pPr>
      <w:rPr>
        <w:rFonts w:ascii="Symbol" w:hAnsi="Symbol" w:hint="default"/>
      </w:rPr>
    </w:lvl>
    <w:lvl w:ilvl="4" w:tplc="0C0A0003" w:tentative="1">
      <w:start w:val="1"/>
      <w:numFmt w:val="bullet"/>
      <w:lvlText w:val="o"/>
      <w:lvlJc w:val="left"/>
      <w:pPr>
        <w:ind w:left="4516" w:hanging="360"/>
      </w:pPr>
      <w:rPr>
        <w:rFonts w:ascii="Courier New" w:hAnsi="Courier New" w:cs="Courier New" w:hint="default"/>
      </w:rPr>
    </w:lvl>
    <w:lvl w:ilvl="5" w:tplc="0C0A0005" w:tentative="1">
      <w:start w:val="1"/>
      <w:numFmt w:val="bullet"/>
      <w:lvlText w:val=""/>
      <w:lvlJc w:val="left"/>
      <w:pPr>
        <w:ind w:left="5236" w:hanging="360"/>
      </w:pPr>
      <w:rPr>
        <w:rFonts w:ascii="Wingdings" w:hAnsi="Wingdings" w:hint="default"/>
      </w:rPr>
    </w:lvl>
    <w:lvl w:ilvl="6" w:tplc="0C0A0001" w:tentative="1">
      <w:start w:val="1"/>
      <w:numFmt w:val="bullet"/>
      <w:lvlText w:val=""/>
      <w:lvlJc w:val="left"/>
      <w:pPr>
        <w:ind w:left="5956" w:hanging="360"/>
      </w:pPr>
      <w:rPr>
        <w:rFonts w:ascii="Symbol" w:hAnsi="Symbol" w:hint="default"/>
      </w:rPr>
    </w:lvl>
    <w:lvl w:ilvl="7" w:tplc="0C0A0003" w:tentative="1">
      <w:start w:val="1"/>
      <w:numFmt w:val="bullet"/>
      <w:lvlText w:val="o"/>
      <w:lvlJc w:val="left"/>
      <w:pPr>
        <w:ind w:left="6676" w:hanging="360"/>
      </w:pPr>
      <w:rPr>
        <w:rFonts w:ascii="Courier New" w:hAnsi="Courier New" w:cs="Courier New" w:hint="default"/>
      </w:rPr>
    </w:lvl>
    <w:lvl w:ilvl="8" w:tplc="0C0A0005" w:tentative="1">
      <w:start w:val="1"/>
      <w:numFmt w:val="bullet"/>
      <w:lvlText w:val=""/>
      <w:lvlJc w:val="left"/>
      <w:pPr>
        <w:ind w:left="7396" w:hanging="360"/>
      </w:pPr>
      <w:rPr>
        <w:rFonts w:ascii="Wingdings" w:hAnsi="Wingdings" w:hint="default"/>
      </w:rPr>
    </w:lvl>
  </w:abstractNum>
  <w:num w:numId="1">
    <w:abstractNumId w:val="1"/>
  </w:num>
  <w:num w:numId="2">
    <w:abstractNumId w:val="5"/>
  </w:num>
  <w:num w:numId="3">
    <w:abstractNumId w:val="0"/>
  </w:num>
  <w:num w:numId="4">
    <w:abstractNumId w:val="10"/>
  </w:num>
  <w:num w:numId="5">
    <w:abstractNumId w:val="8"/>
  </w:num>
  <w:num w:numId="6">
    <w:abstractNumId w:val="6"/>
  </w:num>
  <w:num w:numId="7">
    <w:abstractNumId w:val="2"/>
  </w:num>
  <w:num w:numId="8">
    <w:abstractNumId w:val="4"/>
  </w:num>
  <w:num w:numId="9">
    <w:abstractNumId w:val="7"/>
  </w:num>
  <w:num w:numId="10">
    <w:abstractNumId w:val="3"/>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ED2"/>
    <w:rsid w:val="001C0E7C"/>
    <w:rsid w:val="001D4D01"/>
    <w:rsid w:val="0022381B"/>
    <w:rsid w:val="002F2CCB"/>
    <w:rsid w:val="003A5ED2"/>
    <w:rsid w:val="004E3763"/>
    <w:rsid w:val="00604736"/>
    <w:rsid w:val="00950B4B"/>
    <w:rsid w:val="00A04660"/>
    <w:rsid w:val="00CC4671"/>
    <w:rsid w:val="00EA2AC4"/>
    <w:rsid w:val="00FE4B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F9488F"/>
  <w15:chartTrackingRefBased/>
  <w15:docId w15:val="{CD2D05C6-F34C-4A49-93BD-A50304816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ED2"/>
    <w:pPr>
      <w:spacing w:before="240" w:after="200" w:line="240" w:lineRule="auto"/>
      <w:jc w:val="both"/>
    </w:pPr>
    <w:rPr>
      <w:sz w:val="24"/>
    </w:rPr>
  </w:style>
  <w:style w:type="paragraph" w:styleId="Ttulo1">
    <w:name w:val="heading 1"/>
    <w:basedOn w:val="Normal"/>
    <w:next w:val="Normal"/>
    <w:link w:val="Ttulo1Car"/>
    <w:uiPriority w:val="9"/>
    <w:qFormat/>
    <w:rsid w:val="00EA2AC4"/>
    <w:pPr>
      <w:keepNext/>
      <w:keepLines/>
      <w:spacing w:after="0"/>
      <w:jc w:val="center"/>
      <w:outlineLvl w:val="0"/>
    </w:pPr>
    <w:rPr>
      <w:rFonts w:eastAsiaTheme="majorEastAsia" w:cstheme="majorBidi"/>
      <w:b/>
      <w:sz w:val="36"/>
      <w:szCs w:val="32"/>
    </w:rPr>
  </w:style>
  <w:style w:type="paragraph" w:styleId="Ttulo2">
    <w:name w:val="heading 2"/>
    <w:basedOn w:val="Normal"/>
    <w:next w:val="Normal"/>
    <w:link w:val="Ttulo2Car"/>
    <w:uiPriority w:val="9"/>
    <w:semiHidden/>
    <w:unhideWhenUsed/>
    <w:qFormat/>
    <w:rsid w:val="001C0E7C"/>
    <w:pPr>
      <w:keepNext/>
      <w:keepLines/>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EA2AC4"/>
    <w:rPr>
      <w:rFonts w:eastAsiaTheme="majorEastAsia" w:cstheme="majorBidi"/>
      <w:b/>
      <w:sz w:val="36"/>
      <w:szCs w:val="32"/>
    </w:rPr>
  </w:style>
  <w:style w:type="character" w:customStyle="1" w:styleId="Ttulo2Car">
    <w:name w:val="Título 2 Car"/>
    <w:basedOn w:val="Fuentedeprrafopredeter"/>
    <w:link w:val="Ttulo2"/>
    <w:uiPriority w:val="9"/>
    <w:semiHidden/>
    <w:rsid w:val="001C0E7C"/>
    <w:rPr>
      <w:rFonts w:eastAsiaTheme="majorEastAsia" w:cstheme="majorBidi"/>
      <w:b/>
      <w:color w:val="7F7F7F" w:themeColor="text1" w:themeTint="80"/>
      <w:sz w:val="32"/>
      <w:szCs w:val="26"/>
    </w:rPr>
  </w:style>
  <w:style w:type="paragraph" w:styleId="Sinespaciado">
    <w:name w:val="No Spacing"/>
    <w:link w:val="SinespaciadoCar"/>
    <w:uiPriority w:val="1"/>
    <w:qFormat/>
    <w:rsid w:val="003A5ED2"/>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3A5ED2"/>
    <w:rPr>
      <w:rFonts w:eastAsiaTheme="minorEastAsia"/>
      <w:lang w:eastAsia="es-ES"/>
    </w:rPr>
  </w:style>
  <w:style w:type="paragraph" w:styleId="Prrafodelista">
    <w:name w:val="List Paragraph"/>
    <w:basedOn w:val="Normal"/>
    <w:uiPriority w:val="34"/>
    <w:qFormat/>
    <w:rsid w:val="003A5E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55F8D950EFA4F3587DE2E549F10F9C9"/>
        <w:category>
          <w:name w:val="General"/>
          <w:gallery w:val="placeholder"/>
        </w:category>
        <w:types>
          <w:type w:val="bbPlcHdr"/>
        </w:types>
        <w:behaviors>
          <w:behavior w:val="content"/>
        </w:behaviors>
        <w:guid w:val="{75DB6F8C-3E13-4324-A0BA-BF408B107659}"/>
      </w:docPartPr>
      <w:docPartBody>
        <w:p w:rsidR="009B7734" w:rsidRDefault="005848EB" w:rsidP="005848EB">
          <w:pPr>
            <w:pStyle w:val="955F8D950EFA4F3587DE2E549F10F9C9"/>
          </w:pPr>
          <w:r>
            <w:rPr>
              <w:rFonts w:asciiTheme="majorHAnsi" w:eastAsiaTheme="majorEastAsia" w:hAnsiTheme="majorHAnsi" w:cstheme="majorBidi"/>
              <w:caps/>
              <w:color w:val="5B9BD5" w:themeColor="accent1"/>
              <w:sz w:val="80"/>
              <w:szCs w:val="80"/>
            </w:rPr>
            <w:t>[Título del documento]</w:t>
          </w:r>
        </w:p>
      </w:docPartBody>
    </w:docPart>
    <w:docPart>
      <w:docPartPr>
        <w:name w:val="490F55EC7637408C94A1EF7AF4F1EE9F"/>
        <w:category>
          <w:name w:val="General"/>
          <w:gallery w:val="placeholder"/>
        </w:category>
        <w:types>
          <w:type w:val="bbPlcHdr"/>
        </w:types>
        <w:behaviors>
          <w:behavior w:val="content"/>
        </w:behaviors>
        <w:guid w:val="{B6D11B61-019A-4F58-951D-F59C6C39087A}"/>
      </w:docPartPr>
      <w:docPartBody>
        <w:p w:rsidR="009B7734" w:rsidRDefault="005848EB" w:rsidP="005848EB">
          <w:pPr>
            <w:pStyle w:val="490F55EC7637408C94A1EF7AF4F1EE9F"/>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8EB"/>
    <w:rsid w:val="003146B8"/>
    <w:rsid w:val="005848EB"/>
    <w:rsid w:val="009B56DE"/>
    <w:rsid w:val="009B77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55F8D950EFA4F3587DE2E549F10F9C9">
    <w:name w:val="955F8D950EFA4F3587DE2E549F10F9C9"/>
    <w:rsid w:val="005848EB"/>
  </w:style>
  <w:style w:type="paragraph" w:customStyle="1" w:styleId="490F55EC7637408C94A1EF7AF4F1EE9F">
    <w:name w:val="490F55EC7637408C94A1EF7AF4F1EE9F"/>
    <w:rsid w:val="005848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2025-05-30T00:00:00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Doc1.dotx</Template>
  <TotalTime>47</TotalTime>
  <Pages>5</Pages>
  <Words>852</Words>
  <Characters>4689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Grupo atu</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Optimización del Rendimiento</dc:title>
  <dc:subject>Actividad 3</dc:subject>
  <dc:creator>Usuario</dc:creator>
  <cp:keywords/>
  <dc:description/>
  <cp:lastModifiedBy>Usuario</cp:lastModifiedBy>
  <cp:revision>4</cp:revision>
  <dcterms:created xsi:type="dcterms:W3CDTF">2025-05-30T10:35:00Z</dcterms:created>
  <dcterms:modified xsi:type="dcterms:W3CDTF">2025-05-30T11:26:00Z</dcterms:modified>
</cp:coreProperties>
</file>