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320094293"/>
        <w:docPartObj>
          <w:docPartGallery w:val="Cover Pages"/>
          <w:docPartUnique/>
        </w:docPartObj>
      </w:sdtPr>
      <w:sdtEndPr>
        <w:rPr>
          <w:rFonts w:ascii="Verdana" w:eastAsia="Times New Roman" w:hAnsi="Verdana" w:cs="Times New Roman"/>
          <w:color w:val="2B4E84"/>
          <w:sz w:val="40"/>
          <w:szCs w:val="40"/>
        </w:rPr>
      </w:sdtEndPr>
      <w:sdtContent>
        <w:p w14:paraId="73B11C64" w14:textId="2DDCC551" w:rsidR="00F67D54" w:rsidRDefault="00F67D5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5F53A14" wp14:editId="5BC20FAB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156082" w:themeColor="accent1"/>
              <w:sz w:val="96"/>
              <w:szCs w:val="72"/>
            </w:rPr>
            <w:alias w:val="Título"/>
            <w:tag w:val=""/>
            <w:id w:val="1735040861"/>
            <w:placeholder>
              <w:docPart w:val="ABBC8C0D6D7B4EE2B3B8E4A160F594F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C9B1499" w14:textId="214C7650" w:rsidR="00F67D54" w:rsidRPr="00F67D54" w:rsidRDefault="0032426A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156082" w:themeColor="accent1"/>
                  <w:sz w:val="96"/>
                  <w:szCs w:val="80"/>
                </w:rPr>
              </w:pPr>
              <w:r w:rsidRPr="0032426A">
                <w:rPr>
                  <w:rFonts w:ascii="Times New Roman" w:eastAsiaTheme="majorEastAsia" w:hAnsi="Times New Roman" w:cs="Times New Roman"/>
                  <w:b/>
                  <w:i/>
                  <w:caps/>
                  <w:color w:val="156082" w:themeColor="accent1"/>
                  <w:sz w:val="96"/>
                  <w:szCs w:val="72"/>
                </w:rPr>
                <w:t>Normas de seguridad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156082" w:themeColor="accent1"/>
              <w:sz w:val="56"/>
              <w:szCs w:val="28"/>
            </w:rPr>
            <w:alias w:val="Subtítulo"/>
            <w:tag w:val=""/>
            <w:id w:val="328029620"/>
            <w:placeholder>
              <w:docPart w:val="E4B88139BECE48A7ABFAB803148B64D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4721D8F" w14:textId="6A4F88C6" w:rsidR="00F67D54" w:rsidRPr="00F67D54" w:rsidRDefault="00F67D54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156082" w:themeColor="accent1"/>
                  <w:sz w:val="56"/>
                  <w:szCs w:val="28"/>
                </w:rPr>
              </w:pPr>
              <w:r w:rsidRPr="00F67D54">
                <w:rPr>
                  <w:rFonts w:ascii="Times New Roman" w:hAnsi="Times New Roman" w:cs="Times New Roman"/>
                  <w:b/>
                  <w:i/>
                  <w:color w:val="156082" w:themeColor="accent1"/>
                  <w:sz w:val="56"/>
                  <w:szCs w:val="28"/>
                </w:rPr>
                <w:t>Práctica grupal</w:t>
              </w:r>
            </w:p>
          </w:sdtContent>
        </w:sdt>
        <w:p w14:paraId="78E4A0AE" w14:textId="77777777" w:rsidR="00F67D54" w:rsidRDefault="00F67D5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DFFD72" wp14:editId="320ACE9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alias w:val="Fecha"/>
                                  <w:tag w:val=""/>
                                  <w:id w:val="61325575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BC52911" w14:textId="5009BE37" w:rsidR="00F67D54" w:rsidRPr="00F67D54" w:rsidRDefault="00F67D5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F67D5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26 de mayo de 2025</w:t>
                                    </w:r>
                                  </w:p>
                                </w:sdtContent>
                              </w:sdt>
                              <w:p w14:paraId="45C548B1" w14:textId="5F9602AA" w:rsidR="00F67D54" w:rsidRPr="00F67D54" w:rsidRDefault="0032426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Compañía"/>
                                    <w:tag w:val=""/>
                                    <w:id w:val="70930900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67D54" w:rsidRPr="00F67D54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C828E22" w14:textId="40C31131" w:rsidR="00F67D54" w:rsidRPr="00F67D54" w:rsidRDefault="00F67D5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F67D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>Maria del Carmen Pérez Rivas</w:t>
                                </w:r>
                              </w:p>
                              <w:p w14:paraId="16776683" w14:textId="3BE34929" w:rsidR="00F67D54" w:rsidRPr="00F67D54" w:rsidRDefault="00F67D5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F67D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DFFD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156082" w:themeColor="accent1"/>
                              <w:sz w:val="32"/>
                              <w:szCs w:val="32"/>
                            </w:rPr>
                            <w:alias w:val="Fecha"/>
                            <w:tag w:val=""/>
                            <w:id w:val="61325575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C52911" w14:textId="5009BE37" w:rsidR="00F67D54" w:rsidRPr="00F67D54" w:rsidRDefault="00F67D5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F67D5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26 de mayo de 2025</w:t>
                              </w:r>
                            </w:p>
                          </w:sdtContent>
                        </w:sdt>
                        <w:p w14:paraId="45C548B1" w14:textId="5F9602AA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32"/>
                                <w:szCs w:val="32"/>
                              </w:rPr>
                              <w:alias w:val="Compañía"/>
                              <w:tag w:val=""/>
                              <w:id w:val="70930900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67D54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C828E22" w14:textId="40C31131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F67D54"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  <w:t>Maria del Carmen Pérez Rivas</w:t>
                          </w:r>
                        </w:p>
                        <w:p w14:paraId="16776683" w14:textId="3BE34929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F67D54"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  <w:t>Francisco Javier Otero Herrero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3A437F7" wp14:editId="2E03F904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9846E" w14:textId="10777727" w:rsidR="00F67D54" w:rsidRDefault="00F67D54">
          <w:pPr>
            <w:rPr>
              <w:rFonts w:ascii="Verdana" w:eastAsia="Times New Roman" w:hAnsi="Verdana" w:cs="Times New Roman"/>
              <w:color w:val="2B4E84"/>
              <w:kern w:val="0"/>
              <w:sz w:val="40"/>
              <w:szCs w:val="40"/>
              <w:lang w:eastAsia="es-ES"/>
              <w14:ligatures w14:val="none"/>
            </w:rPr>
          </w:pPr>
          <w:r>
            <w:rPr>
              <w:rFonts w:ascii="Verdana" w:eastAsia="Times New Roman" w:hAnsi="Verdana" w:cs="Times New Roman"/>
              <w:color w:val="2B4E84"/>
              <w:kern w:val="0"/>
              <w:sz w:val="40"/>
              <w:szCs w:val="40"/>
              <w:lang w:eastAsia="es-ES"/>
              <w14:ligatures w14:val="none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73341937" w14:textId="77777777" w:rsidR="00F67D54" w:rsidRDefault="00F67D54" w:rsidP="00A875F4">
      <w:pPr>
        <w:shd w:val="clear" w:color="auto" w:fill="FFFFFF"/>
        <w:spacing w:after="100" w:afterAutospacing="1" w:line="240" w:lineRule="auto"/>
        <w:outlineLvl w:val="1"/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</w:p>
    <w:p w14:paraId="29988C9E" w14:textId="77777777" w:rsidR="00F67D54" w:rsidRDefault="00F67D54">
      <w:pPr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  <w:r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  <w:br w:type="page"/>
      </w:r>
    </w:p>
    <w:p w14:paraId="5714BC5B" w14:textId="30B84E17" w:rsidR="00A875F4" w:rsidRPr="00F67D54" w:rsidRDefault="00A875F4" w:rsidP="00A875F4">
      <w:pPr>
        <w:shd w:val="clear" w:color="auto" w:fill="FFFFFF"/>
        <w:spacing w:after="100" w:afterAutospacing="1" w:line="240" w:lineRule="auto"/>
        <w:outlineLvl w:val="1"/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  <w:r w:rsidRPr="00F67D54"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  <w:lastRenderedPageBreak/>
        <w:t>Unidad de Contenido 1. Actividad 5: Normas de seguridad (Ejercicio teórico-práctico GRUPAL)</w:t>
      </w:r>
    </w:p>
    <w:p w14:paraId="518ACC1E" w14:textId="77777777" w:rsidR="00A875F4" w:rsidRPr="00A875F4" w:rsidRDefault="00A875F4" w:rsidP="00A875F4">
      <w:pPr>
        <w:shd w:val="clear" w:color="auto" w:fill="A59891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FFFFFF"/>
          <w:kern w:val="0"/>
          <w:sz w:val="23"/>
          <w:szCs w:val="23"/>
          <w:lang w:eastAsia="es-ES"/>
          <w14:ligatures w14:val="none"/>
        </w:rPr>
        <w:t>INFORMACIÓN PARA EL ALUMNO</w:t>
      </w:r>
    </w:p>
    <w:p w14:paraId="54C58BAA" w14:textId="77777777" w:rsidR="00A875F4" w:rsidRPr="00A875F4" w:rsidRDefault="00A875F4" w:rsidP="00A875F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 </w:t>
      </w:r>
    </w:p>
    <w:p w14:paraId="398BE0C2" w14:textId="77777777" w:rsidR="00A875F4" w:rsidRPr="00A875F4" w:rsidRDefault="00A875F4" w:rsidP="00A875F4">
      <w:pPr>
        <w:shd w:val="clear" w:color="auto" w:fill="FFFFFF"/>
        <w:spacing w:after="200" w:line="259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Esta actividad se realizará de manera grupal, para ello tu tutor-formador creará distintos grupos de trabajo y te indicará a qué grupo perteneces, los miembros que lo forman y el espacio de la plataforma que se habilitará para que podáis desarrollar la actividad.</w:t>
      </w:r>
    </w:p>
    <w:p w14:paraId="42F3ADF7" w14:textId="2DFC083B" w:rsidR="00A875F4" w:rsidRPr="00A875F4" w:rsidRDefault="00A875F4" w:rsidP="00F67D5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  </w:t>
      </w:r>
    </w:p>
    <w:p w14:paraId="1965C662" w14:textId="77777777" w:rsidR="00A875F4" w:rsidRPr="00A875F4" w:rsidRDefault="00A875F4" w:rsidP="00A875F4">
      <w:pPr>
        <w:shd w:val="clear" w:color="auto" w:fill="FFFFFF"/>
        <w:spacing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A59891"/>
          <w:kern w:val="0"/>
          <w:sz w:val="23"/>
          <w:szCs w:val="23"/>
          <w:lang w:eastAsia="es-ES"/>
          <w14:ligatures w14:val="none"/>
        </w:rPr>
        <w:t>PREGUNTAS/ACTIVIDADES A REALIZAR</w:t>
      </w:r>
    </w:p>
    <w:p w14:paraId="7078556C" w14:textId="77777777" w:rsidR="00A875F4" w:rsidRPr="00A875F4" w:rsidRDefault="00A875F4" w:rsidP="00A875F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E36C0A"/>
          <w:kern w:val="0"/>
          <w:sz w:val="23"/>
          <w:szCs w:val="23"/>
          <w:lang w:eastAsia="es-ES"/>
          <w14:ligatures w14:val="none"/>
        </w:rPr>
        <w:t> </w:t>
      </w:r>
    </w:p>
    <w:p w14:paraId="5371F670" w14:textId="77777777" w:rsidR="00A875F4" w:rsidRPr="00A875F4" w:rsidRDefault="00A875F4" w:rsidP="00A875F4">
      <w:pPr>
        <w:shd w:val="clear" w:color="auto" w:fill="FFFFFF"/>
        <w:spacing w:after="200" w:line="259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1. Realizad una búsqueda y un breve resumen de lo publicado en el BOE en referencia a la normativa existente sobre servidores de correo y las comunicaciones electrónicas.</w:t>
      </w:r>
    </w:p>
    <w:p w14:paraId="35B9F58A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875F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el Boletín Oficial del Estado (BOE) se han publicado diversas normativas que regulan los servidores de correo y las comunicaciones electrónicas en España. A continuación, se presenta un resumen de las principales disposiciones:</w:t>
      </w:r>
    </w:p>
    <w:p w14:paraId="3A0D709F" w14:textId="77777777" w:rsidR="00A875F4" w:rsidRPr="00A875F4" w:rsidRDefault="0032426A" w:rsidP="00A87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84BFAC">
          <v:rect id="_x0000_i1025" style="width:0;height:1.5pt" o:hralign="center" o:hrstd="t" o:hr="t" fillcolor="#a0a0a0" stroked="f"/>
        </w:pict>
      </w:r>
    </w:p>
    <w:p w14:paraId="30A6542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A875F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📜</w:t>
      </w:r>
      <w:r w:rsidRPr="00A875F4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 xml:space="preserve"> Normativa sobre servidores de correo y comunicaciones electrónicas</w:t>
      </w:r>
    </w:p>
    <w:p w14:paraId="77F77EE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1. Real Decreto 203/2021, de 30 de marzo</w:t>
      </w:r>
    </w:p>
    <w:p w14:paraId="6CCC9E9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Este decreto aprueba el Reglamento de actuación y funcionamiento del sector público por medios electrónicos. Establece las bases para la comunicación electrónica entre las administraciones públicas y los ciudadanos, incluyendo:</w:t>
      </w:r>
    </w:p>
    <w:p w14:paraId="00EBE623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utilización de registros electrónicos.</w:t>
      </w:r>
    </w:p>
    <w:p w14:paraId="74E88EE0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práctica de notificaciones electrónicas.</w:t>
      </w:r>
    </w:p>
    <w:p w14:paraId="18BE1021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identificación y firma electrónica.</w:t>
      </w:r>
    </w:p>
    <w:p w14:paraId="4E7D7E74" w14:textId="38D483FE" w:rsidR="00A875F4" w:rsidRPr="00F67D5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interoperabilidad entre sistemas.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disposiciones son fundamentales para la gestión y operación de servidores de correo en el ámbito público. </w:t>
      </w:r>
      <w:hyperlink r:id="rId8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Hacienda+2BOE+2BOE+2</w:t>
        </w:r>
      </w:hyperlink>
      <w:hyperlink r:id="rId9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BOE</w:t>
        </w:r>
      </w:hyperlink>
    </w:p>
    <w:p w14:paraId="4BD888D4" w14:textId="4D0619E3" w:rsidR="00F67D54" w:rsidRDefault="00F67D54">
      <w:pPr>
        <w:rPr>
          <w:lang w:eastAsia="es-ES"/>
        </w:rPr>
      </w:pPr>
      <w:r>
        <w:rPr>
          <w:lang w:eastAsia="es-ES"/>
        </w:rPr>
        <w:br w:type="page"/>
      </w:r>
    </w:p>
    <w:p w14:paraId="7E1BF061" w14:textId="77777777" w:rsidR="00F67D54" w:rsidRPr="00A875F4" w:rsidRDefault="00F67D54" w:rsidP="00F67D54">
      <w:pPr>
        <w:rPr>
          <w:lang w:eastAsia="es-ES"/>
        </w:rPr>
      </w:pPr>
    </w:p>
    <w:p w14:paraId="3F691862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2. Resolución de MT BOE núm. 68 del 21-03-2023</w:t>
      </w:r>
    </w:p>
    <w:p w14:paraId="3DD9453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Esta resolución aborda el uso del correo electrónico e internet por parte de los trabajadores, destacando:</w:t>
      </w:r>
    </w:p>
    <w:p w14:paraId="53401741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El derecho de los trabajadores a utilizar estas herramientas para el desempeño de sus funciones.</w:t>
      </w:r>
    </w:p>
    <w:p w14:paraId="5CC90A21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necesidad de salvaguardar el derecho a la intimidad del trabajador.</w:t>
      </w:r>
    </w:p>
    <w:p w14:paraId="279674F3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posibilidad de que la entidad controle el uso adecuado de estas herramientas.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consideraciones son relevantes para la configuración y políticas de uso de los servidores de correo en entornos laborales. </w:t>
      </w:r>
      <w:hyperlink r:id="rId10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Iberley</w:t>
        </w:r>
      </w:hyperlink>
    </w:p>
    <w:p w14:paraId="52114367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3. Resolución de MT BOE núm. 273 del 15-11-2023</w:t>
      </w:r>
    </w:p>
    <w:p w14:paraId="7B5397F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Esta resolución regula la utilización de herramientas telemáticas por la representación legal de los trabajadores, incluyendo:</w:t>
      </w:r>
    </w:p>
    <w:p w14:paraId="50F8C401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El uso del correo electrónico para transmitir información sindical y laboral.</w:t>
      </w:r>
    </w:p>
    <w:p w14:paraId="728430E7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necesidad de respetar la normativa de protección de datos personales.</w:t>
      </w:r>
    </w:p>
    <w:p w14:paraId="54550640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obligación de no perturbar la actividad normal de la empresa ni generar costes adicionales.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directrices son importantes para establecer políticas de uso del correo electrónico en el ámbito sindical. </w:t>
      </w:r>
      <w:hyperlink r:id="rId11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BOE+4Iberley+4Iberley+4</w:t>
        </w:r>
      </w:hyperlink>
    </w:p>
    <w:p w14:paraId="5CDDBAA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4. Real Decreto 616/2020, de 30 de junio</w:t>
      </w:r>
    </w:p>
    <w:p w14:paraId="414ED77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Este decreto actualiza cualificaciones profesionales en el ámbito de la informática y las comunicaciones, incluyendo:</w:t>
      </w:r>
    </w:p>
    <w:p w14:paraId="08ABA8B3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administración de servidores de mensajería electrónica.</w:t>
      </w:r>
    </w:p>
    <w:p w14:paraId="3C7399AB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configuración y gestión de cuentas de usuario.</w:t>
      </w:r>
    </w:p>
    <w:p w14:paraId="39DB0944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aplicación de técnicas de seguridad en servicios de mensajería.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>Estas competencias son esenciales para el personal encargado de la gestión de servidores de correo.</w:t>
      </w:r>
    </w:p>
    <w:p w14:paraId="6ADF96B4" w14:textId="77777777" w:rsidR="00E75742" w:rsidRPr="00A875F4" w:rsidRDefault="00E75742">
      <w:pPr>
        <w:rPr>
          <w:rFonts w:ascii="Calibri" w:hAnsi="Calibri" w:cs="Calibri"/>
        </w:rPr>
      </w:pPr>
    </w:p>
    <w:sectPr w:rsidR="00E75742" w:rsidRPr="00A875F4" w:rsidSect="00F67D5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75B"/>
    <w:multiLevelType w:val="multilevel"/>
    <w:tmpl w:val="4DD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211"/>
    <w:multiLevelType w:val="multilevel"/>
    <w:tmpl w:val="D0C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0276"/>
    <w:multiLevelType w:val="multilevel"/>
    <w:tmpl w:val="39C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0BB"/>
    <w:multiLevelType w:val="multilevel"/>
    <w:tmpl w:val="EC9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74469"/>
    <w:multiLevelType w:val="multilevel"/>
    <w:tmpl w:val="4BC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772C9"/>
    <w:multiLevelType w:val="multilevel"/>
    <w:tmpl w:val="BB4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94DFA"/>
    <w:multiLevelType w:val="multilevel"/>
    <w:tmpl w:val="587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F4186"/>
    <w:multiLevelType w:val="multilevel"/>
    <w:tmpl w:val="FC4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5F4"/>
    <w:rsid w:val="0032426A"/>
    <w:rsid w:val="00A875F4"/>
    <w:rsid w:val="00B6501E"/>
    <w:rsid w:val="00E75742"/>
    <w:rsid w:val="00F17C5A"/>
    <w:rsid w:val="00F6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4B9F"/>
  <w15:chartTrackingRefBased/>
  <w15:docId w15:val="{2E0DCE02-8B6F-48DB-8E60-D64931F3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5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75F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875F4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F67D5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7D5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787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single" w:sz="12" w:space="1" w:color="A59891"/>
                <w:right w:val="none" w:sz="0" w:space="0" w:color="auto"/>
              </w:divBdr>
            </w:div>
            <w:div w:id="2932232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single" w:sz="12" w:space="1" w:color="A59891"/>
                <w:right w:val="none" w:sz="0" w:space="0" w:color="auto"/>
              </w:divBdr>
            </w:div>
          </w:divsChild>
        </w:div>
      </w:divsChild>
    </w:div>
    <w:div w:id="4235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e.es/buscar/act.php?id=BOE-A-2021-5032&amp;utm_source=chatgpt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berley.es/resoluciones/resolucion-mt-boe-num-273-15-11-2023-11642825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erley.es/resoluciones/resolucion-mt-boe-num-68-21-03-2023-11623815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oe.es/buscar/act.php?id=BOE-A-2021-5032&amp;utm_source=chatgpt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BBC8C0D6D7B4EE2B3B8E4A160F59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908F3-0EA5-452E-B422-A43A484283E4}"/>
      </w:docPartPr>
      <w:docPartBody>
        <w:p w:rsidR="00C77853" w:rsidRDefault="001C709B" w:rsidP="001C709B">
          <w:pPr>
            <w:pStyle w:val="ABBC8C0D6D7B4EE2B3B8E4A160F594F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4B88139BECE48A7ABFAB803148B6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B0A13-062E-4B55-AB96-D9D6037CCE01}"/>
      </w:docPartPr>
      <w:docPartBody>
        <w:p w:rsidR="00C77853" w:rsidRDefault="001C709B" w:rsidP="001C709B">
          <w:pPr>
            <w:pStyle w:val="E4B88139BECE48A7ABFAB803148B64DA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9B"/>
    <w:rsid w:val="001C709B"/>
    <w:rsid w:val="006408A6"/>
    <w:rsid w:val="008073B6"/>
    <w:rsid w:val="00C7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BC8C0D6D7B4EE2B3B8E4A160F594F7">
    <w:name w:val="ABBC8C0D6D7B4EE2B3B8E4A160F594F7"/>
    <w:rsid w:val="001C709B"/>
  </w:style>
  <w:style w:type="paragraph" w:customStyle="1" w:styleId="E4B88139BECE48A7ABFAB803148B64DA">
    <w:name w:val="E4B88139BECE48A7ABFAB803148B64DA"/>
    <w:rsid w:val="001C70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de seguridad</dc:title>
  <dc:subject>Práctica grupal</dc:subject>
  <dc:creator>Maria del Carmen Pérez Rivas</dc:creator>
  <cp:keywords/>
  <dc:description/>
  <cp:lastModifiedBy>Usuario</cp:lastModifiedBy>
  <cp:revision>3</cp:revision>
  <dcterms:created xsi:type="dcterms:W3CDTF">2025-05-14T06:36:00Z</dcterms:created>
  <dcterms:modified xsi:type="dcterms:W3CDTF">2025-05-30T11:02:00Z</dcterms:modified>
</cp:coreProperties>
</file>