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5B9BD5" w:themeColor="accent1"/>
        </w:rPr>
        <w:id w:val="102466752"/>
        <w:docPartObj>
          <w:docPartGallery w:val="Cover Pages"/>
          <w:docPartUnique/>
        </w:docPartObj>
      </w:sdtPr>
      <w:sdtEndPr>
        <w:rPr>
          <w:rFonts w:eastAsiaTheme="minorHAnsi"/>
          <w:color w:val="auto"/>
          <w:sz w:val="24"/>
          <w:lang w:eastAsia="en-US"/>
        </w:rPr>
      </w:sdtEndPr>
      <w:sdtContent>
        <w:p w:rsidR="006B2A2C" w:rsidRDefault="006B2A2C">
          <w:pPr>
            <w:pStyle w:val="Sinespaciado"/>
            <w:spacing w:before="1540" w:after="240"/>
            <w:jc w:val="center"/>
            <w:rPr>
              <w:color w:val="5B9BD5" w:themeColor="accent1"/>
            </w:rPr>
          </w:pPr>
          <w:r>
            <w:rPr>
              <w:noProof/>
              <w:color w:val="5B9BD5" w:themeColor="accent1"/>
            </w:rPr>
            <w:drawing>
              <wp:inline distT="0" distB="0" distL="0" distR="0">
                <wp:extent cx="1417320" cy="750898"/>
                <wp:effectExtent l="0" t="0" r="0" b="0"/>
                <wp:docPr id="143" name="Imagen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b/>
              <w:i/>
              <w:caps/>
              <w:color w:val="5B9BD5" w:themeColor="accent1"/>
              <w:sz w:val="72"/>
              <w:szCs w:val="80"/>
            </w:rPr>
            <w:alias w:val="Título"/>
            <w:tag w:val=""/>
            <w:id w:val="1735040861"/>
            <w:placeholder>
              <w:docPart w:val="19E57B5447AD4C0AB0431D53504C576B"/>
            </w:placeholder>
            <w:dataBinding w:prefixMappings="xmlns:ns0='http://purl.org/dc/elements/1.1/' xmlns:ns1='http://schemas.openxmlformats.org/package/2006/metadata/core-properties' " w:xpath="/ns1:coreProperties[1]/ns0:title[1]" w:storeItemID="{6C3C8BC8-F283-45AE-878A-BAB7291924A1}"/>
            <w:text/>
          </w:sdtPr>
          <w:sdtContent>
            <w:p w:rsidR="006B2A2C" w:rsidRPr="006B2A2C" w:rsidRDefault="006B2A2C" w:rsidP="006B2A2C">
              <w:pPr>
                <w:pStyle w:val="Sinespaciado"/>
                <w:pBdr>
                  <w:top w:val="single" w:sz="6" w:space="6" w:color="5B9BD5" w:themeColor="accent1"/>
                  <w:bottom w:val="single" w:sz="6" w:space="6" w:color="5B9BD5" w:themeColor="accent1"/>
                </w:pBdr>
                <w:spacing w:after="240"/>
                <w:jc w:val="center"/>
                <w:rPr>
                  <w:rFonts w:ascii="Times New Roman" w:eastAsiaTheme="majorEastAsia" w:hAnsi="Times New Roman" w:cs="Times New Roman"/>
                  <w:b/>
                  <w:i/>
                  <w:caps/>
                  <w:color w:val="5B9BD5" w:themeColor="accent1"/>
                  <w:sz w:val="72"/>
                  <w:szCs w:val="80"/>
                </w:rPr>
              </w:pPr>
              <w:r w:rsidRPr="006B2A2C">
                <w:rPr>
                  <w:rFonts w:ascii="Times New Roman" w:eastAsiaTheme="majorEastAsia" w:hAnsi="Times New Roman" w:cs="Times New Roman"/>
                  <w:b/>
                  <w:i/>
                  <w:caps/>
                  <w:color w:val="5B9BD5" w:themeColor="accent1"/>
                  <w:sz w:val="72"/>
                  <w:szCs w:val="80"/>
                </w:rPr>
                <w:t>PROCESO DE ARRANQUE Y PARADA. LOGS</w:t>
              </w:r>
            </w:p>
          </w:sdtContent>
        </w:sdt>
        <w:sdt>
          <w:sdtPr>
            <w:rPr>
              <w:rFonts w:ascii="Times New Roman" w:hAnsi="Times New Roman" w:cs="Times New Roman"/>
              <w:b/>
              <w:i/>
              <w:color w:val="5B9BD5" w:themeColor="accent1"/>
              <w:sz w:val="44"/>
              <w:szCs w:val="28"/>
            </w:rPr>
            <w:alias w:val="Subtítulo"/>
            <w:tag w:val=""/>
            <w:id w:val="328029620"/>
            <w:placeholder>
              <w:docPart w:val="6C8670F1BB6D4BB8B0186E45C7B9C722"/>
            </w:placeholder>
            <w:dataBinding w:prefixMappings="xmlns:ns0='http://purl.org/dc/elements/1.1/' xmlns:ns1='http://schemas.openxmlformats.org/package/2006/metadata/core-properties' " w:xpath="/ns1:coreProperties[1]/ns0:subject[1]" w:storeItemID="{6C3C8BC8-F283-45AE-878A-BAB7291924A1}"/>
            <w:text/>
          </w:sdtPr>
          <w:sdtContent>
            <w:p w:rsidR="006B2A2C" w:rsidRPr="006B2A2C" w:rsidRDefault="006B2A2C">
              <w:pPr>
                <w:pStyle w:val="Sinespaciado"/>
                <w:jc w:val="center"/>
                <w:rPr>
                  <w:rFonts w:ascii="Times New Roman" w:hAnsi="Times New Roman" w:cs="Times New Roman"/>
                  <w:b/>
                  <w:i/>
                  <w:color w:val="5B9BD5" w:themeColor="accent1"/>
                  <w:sz w:val="44"/>
                  <w:szCs w:val="28"/>
                </w:rPr>
              </w:pPr>
              <w:r w:rsidRPr="006B2A2C">
                <w:rPr>
                  <w:rFonts w:ascii="Times New Roman" w:hAnsi="Times New Roman" w:cs="Times New Roman"/>
                  <w:b/>
                  <w:i/>
                  <w:color w:val="5B9BD5" w:themeColor="accent1"/>
                  <w:sz w:val="44"/>
                  <w:szCs w:val="28"/>
                </w:rPr>
                <w:t>ACTIVIDAD 4</w:t>
              </w:r>
            </w:p>
          </w:sdtContent>
        </w:sdt>
        <w:p w:rsidR="006B2A2C" w:rsidRDefault="006B2A2C">
          <w:pPr>
            <w:pStyle w:val="Sinespaciado"/>
            <w:spacing w:before="480"/>
            <w:jc w:val="center"/>
            <w:rPr>
              <w:color w:val="5B9BD5" w:themeColor="accent1"/>
            </w:rPr>
          </w:pPr>
          <w:r>
            <w:rPr>
              <w:noProof/>
              <w:color w:val="5B9BD5" w:themeColor="accent1"/>
            </w:rPr>
            <mc:AlternateContent>
              <mc:Choice Requires="wps">
                <w:drawing>
                  <wp:anchor distT="0" distB="0" distL="114300" distR="114300" simplePos="0" relativeHeight="251659264" behindDoc="0" locked="0" layoutInCell="1" allowOverlap="1">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imes New Roman" w:hAnsi="Times New Roman" w:cs="Times New Roman"/>
                                    <w:b/>
                                    <w:i/>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5-20T00:00:00Z">
                                    <w:dateFormat w:val="d 'de' MMMM 'de' yyyy"/>
                                    <w:lid w:val="es-ES"/>
                                    <w:storeMappedDataAs w:val="dateTime"/>
                                    <w:calendar w:val="gregorian"/>
                                  </w:date>
                                </w:sdtPr>
                                <w:sdtContent>
                                  <w:p w:rsidR="006B2A2C" w:rsidRPr="006B2A2C" w:rsidRDefault="006B2A2C">
                                    <w:pPr>
                                      <w:pStyle w:val="Sinespaciado"/>
                                      <w:spacing w:after="40"/>
                                      <w:jc w:val="center"/>
                                      <w:rPr>
                                        <w:rFonts w:ascii="Times New Roman" w:hAnsi="Times New Roman" w:cs="Times New Roman"/>
                                        <w:b/>
                                        <w:i/>
                                        <w:caps/>
                                        <w:color w:val="5B9BD5" w:themeColor="accent1"/>
                                        <w:sz w:val="28"/>
                                        <w:szCs w:val="28"/>
                                      </w:rPr>
                                    </w:pPr>
                                    <w:r w:rsidRPr="006B2A2C">
                                      <w:rPr>
                                        <w:rFonts w:ascii="Times New Roman" w:hAnsi="Times New Roman" w:cs="Times New Roman"/>
                                        <w:b/>
                                        <w:i/>
                                        <w:caps/>
                                        <w:color w:val="5B9BD5" w:themeColor="accent1"/>
                                        <w:sz w:val="28"/>
                                        <w:szCs w:val="28"/>
                                      </w:rPr>
                                      <w:t>20 de mayo de 2025</w:t>
                                    </w:r>
                                  </w:p>
                                </w:sdtContent>
                              </w:sdt>
                              <w:p w:rsidR="006B2A2C" w:rsidRPr="006B2A2C" w:rsidRDefault="006B2A2C">
                                <w:pPr>
                                  <w:pStyle w:val="Sinespaciado"/>
                                  <w:jc w:val="center"/>
                                  <w:rPr>
                                    <w:rFonts w:ascii="Times New Roman" w:hAnsi="Times New Roman" w:cs="Times New Roman"/>
                                    <w:b/>
                                    <w:i/>
                                    <w:color w:val="5B9BD5" w:themeColor="accent1"/>
                                    <w:sz w:val="28"/>
                                    <w:szCs w:val="28"/>
                                  </w:rPr>
                                </w:pPr>
                                <w:sdt>
                                  <w:sdtPr>
                                    <w:rPr>
                                      <w:rFonts w:ascii="Times New Roman" w:hAnsi="Times New Roman" w:cs="Times New Roman"/>
                                      <w:b/>
                                      <w:i/>
                                      <w:caps/>
                                      <w:color w:val="5B9BD5" w:themeColor="accent1"/>
                                      <w:sz w:val="28"/>
                                      <w:szCs w:val="28"/>
                                    </w:rPr>
                                    <w:alias w:val="Compañía"/>
                                    <w:tag w:val=""/>
                                    <w:id w:val="1390145197"/>
                                    <w:dataBinding w:prefixMappings="xmlns:ns0='http://schemas.openxmlformats.org/officeDocument/2006/extended-properties' " w:xpath="/ns0:Properties[1]/ns0:Company[1]" w:storeItemID="{6668398D-A668-4E3E-A5EB-62B293D839F1}"/>
                                    <w:text/>
                                  </w:sdtPr>
                                  <w:sdtContent>
                                    <w:r w:rsidRPr="006B2A2C">
                                      <w:rPr>
                                        <w:rFonts w:ascii="Times New Roman" w:hAnsi="Times New Roman" w:cs="Times New Roman"/>
                                        <w:b/>
                                        <w:i/>
                                        <w:caps/>
                                        <w:color w:val="5B9BD5" w:themeColor="accent1"/>
                                        <w:sz w:val="28"/>
                                        <w:szCs w:val="28"/>
                                      </w:rPr>
                                      <w:t>Grupo atu</w:t>
                                    </w:r>
                                  </w:sdtContent>
                                </w:sdt>
                              </w:p>
                              <w:p w:rsidR="006B2A2C" w:rsidRPr="006B2A2C" w:rsidRDefault="006B2A2C">
                                <w:pPr>
                                  <w:pStyle w:val="Sinespaciado"/>
                                  <w:jc w:val="center"/>
                                  <w:rPr>
                                    <w:rFonts w:ascii="Times New Roman" w:hAnsi="Times New Roman" w:cs="Times New Roman"/>
                                    <w:b/>
                                    <w:i/>
                                    <w:color w:val="5B9BD5" w:themeColor="accent1"/>
                                    <w:sz w:val="28"/>
                                    <w:szCs w:val="28"/>
                                  </w:rPr>
                                </w:pPr>
                                <w:sdt>
                                  <w:sdtPr>
                                    <w:rPr>
                                      <w:rFonts w:ascii="Times New Roman" w:hAnsi="Times New Roman" w:cs="Times New Roman"/>
                                      <w:b/>
                                      <w:i/>
                                      <w:color w:val="5B9BD5" w:themeColor="accent1"/>
                                      <w:sz w:val="28"/>
                                      <w:szCs w:val="28"/>
                                    </w:rPr>
                                    <w:alias w:val="Dirección"/>
                                    <w:tag w:val=""/>
                                    <w:id w:val="-726379553"/>
                                    <w:dataBinding w:prefixMappings="xmlns:ns0='http://schemas.microsoft.com/office/2006/coverPageProps' " w:xpath="/ns0:CoverPageProperties[1]/ns0:CompanyAddress[1]" w:storeItemID="{55AF091B-3C7A-41E3-B477-F2FDAA23CFDA}"/>
                                    <w:text/>
                                  </w:sdtPr>
                                  <w:sdtContent>
                                    <w:r w:rsidRPr="006B2A2C">
                                      <w:rPr>
                                        <w:rFonts w:ascii="Times New Roman" w:hAnsi="Times New Roman" w:cs="Times New Roman"/>
                                        <w:b/>
                                        <w:i/>
                                        <w:color w:val="5B9BD5" w:themeColor="accent1"/>
                                        <w:sz w:val="28"/>
                                        <w:szCs w:val="28"/>
                                      </w:rPr>
                                      <w:t>Francisco Javier Otero Herrero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" filled="f" stroked="f" strokeweight=".5pt">
                    <v:textbox style="mso-fit-shape-to-text:t" inset="0,0,0,0">
                      <w:txbxContent>
                        <w:sdt>
                          <w:sdtPr>
                            <w:rPr>
                              <w:rFonts w:ascii="Times New Roman" w:hAnsi="Times New Roman" w:cs="Times New Roman"/>
                              <w:b/>
                              <w:i/>
                              <w:caps/>
                              <w:color w:val="5B9BD5" w:themeColor="accent1"/>
                              <w:sz w:val="28"/>
                              <w:szCs w:val="28"/>
                            </w:rPr>
                            <w:alias w:val="Fecha"/>
                            <w:tag w:val=""/>
                            <w:id w:val="197127006"/>
                            <w:dataBinding w:prefixMappings="xmlns:ns0='http://schemas.microsoft.com/office/2006/coverPageProps' " w:xpath="/ns0:CoverPageProperties[1]/ns0:PublishDate[1]" w:storeItemID="{55AF091B-3C7A-41E3-B477-F2FDAA23CFDA}"/>
                            <w:date w:fullDate="2025-05-20T00:00:00Z">
                              <w:dateFormat w:val="d 'de' MMMM 'de' yyyy"/>
                              <w:lid w:val="es-ES"/>
                              <w:storeMappedDataAs w:val="dateTime"/>
                              <w:calendar w:val="gregorian"/>
                            </w:date>
                          </w:sdtPr>
                          <w:sdtContent>
                            <w:p w:rsidR="006B2A2C" w:rsidRPr="006B2A2C" w:rsidRDefault="006B2A2C">
                              <w:pPr>
                                <w:pStyle w:val="Sinespaciado"/>
                                <w:spacing w:after="40"/>
                                <w:jc w:val="center"/>
                                <w:rPr>
                                  <w:rFonts w:ascii="Times New Roman" w:hAnsi="Times New Roman" w:cs="Times New Roman"/>
                                  <w:b/>
                                  <w:i/>
                                  <w:caps/>
                                  <w:color w:val="5B9BD5" w:themeColor="accent1"/>
                                  <w:sz w:val="28"/>
                                  <w:szCs w:val="28"/>
                                </w:rPr>
                              </w:pPr>
                              <w:r w:rsidRPr="006B2A2C">
                                <w:rPr>
                                  <w:rFonts w:ascii="Times New Roman" w:hAnsi="Times New Roman" w:cs="Times New Roman"/>
                                  <w:b/>
                                  <w:i/>
                                  <w:caps/>
                                  <w:color w:val="5B9BD5" w:themeColor="accent1"/>
                                  <w:sz w:val="28"/>
                                  <w:szCs w:val="28"/>
                                </w:rPr>
                                <w:t>20 de mayo de 2025</w:t>
                              </w:r>
                            </w:p>
                          </w:sdtContent>
                        </w:sdt>
                        <w:p w:rsidR="006B2A2C" w:rsidRPr="006B2A2C" w:rsidRDefault="006B2A2C">
                          <w:pPr>
                            <w:pStyle w:val="Sinespaciado"/>
                            <w:jc w:val="center"/>
                            <w:rPr>
                              <w:rFonts w:ascii="Times New Roman" w:hAnsi="Times New Roman" w:cs="Times New Roman"/>
                              <w:b/>
                              <w:i/>
                              <w:color w:val="5B9BD5" w:themeColor="accent1"/>
                              <w:sz w:val="28"/>
                              <w:szCs w:val="28"/>
                            </w:rPr>
                          </w:pPr>
                          <w:sdt>
                            <w:sdtPr>
                              <w:rPr>
                                <w:rFonts w:ascii="Times New Roman" w:hAnsi="Times New Roman" w:cs="Times New Roman"/>
                                <w:b/>
                                <w:i/>
                                <w:caps/>
                                <w:color w:val="5B9BD5" w:themeColor="accent1"/>
                                <w:sz w:val="28"/>
                                <w:szCs w:val="28"/>
                              </w:rPr>
                              <w:alias w:val="Compañía"/>
                              <w:tag w:val=""/>
                              <w:id w:val="1390145197"/>
                              <w:dataBinding w:prefixMappings="xmlns:ns0='http://schemas.openxmlformats.org/officeDocument/2006/extended-properties' " w:xpath="/ns0:Properties[1]/ns0:Company[1]" w:storeItemID="{6668398D-A668-4E3E-A5EB-62B293D839F1}"/>
                              <w:text/>
                            </w:sdtPr>
                            <w:sdtContent>
                              <w:r w:rsidRPr="006B2A2C">
                                <w:rPr>
                                  <w:rFonts w:ascii="Times New Roman" w:hAnsi="Times New Roman" w:cs="Times New Roman"/>
                                  <w:b/>
                                  <w:i/>
                                  <w:caps/>
                                  <w:color w:val="5B9BD5" w:themeColor="accent1"/>
                                  <w:sz w:val="28"/>
                                  <w:szCs w:val="28"/>
                                </w:rPr>
                                <w:t>Grupo atu</w:t>
                              </w:r>
                            </w:sdtContent>
                          </w:sdt>
                        </w:p>
                        <w:p w:rsidR="006B2A2C" w:rsidRPr="006B2A2C" w:rsidRDefault="006B2A2C">
                          <w:pPr>
                            <w:pStyle w:val="Sinespaciado"/>
                            <w:jc w:val="center"/>
                            <w:rPr>
                              <w:rFonts w:ascii="Times New Roman" w:hAnsi="Times New Roman" w:cs="Times New Roman"/>
                              <w:b/>
                              <w:i/>
                              <w:color w:val="5B9BD5" w:themeColor="accent1"/>
                              <w:sz w:val="28"/>
                              <w:szCs w:val="28"/>
                            </w:rPr>
                          </w:pPr>
                          <w:sdt>
                            <w:sdtPr>
                              <w:rPr>
                                <w:rFonts w:ascii="Times New Roman" w:hAnsi="Times New Roman" w:cs="Times New Roman"/>
                                <w:b/>
                                <w:i/>
                                <w:color w:val="5B9BD5" w:themeColor="accent1"/>
                                <w:sz w:val="28"/>
                                <w:szCs w:val="28"/>
                              </w:rPr>
                              <w:alias w:val="Dirección"/>
                              <w:tag w:val=""/>
                              <w:id w:val="-726379553"/>
                              <w:dataBinding w:prefixMappings="xmlns:ns0='http://schemas.microsoft.com/office/2006/coverPageProps' " w:xpath="/ns0:CoverPageProperties[1]/ns0:CompanyAddress[1]" w:storeItemID="{55AF091B-3C7A-41E3-B477-F2FDAA23CFDA}"/>
                              <w:text/>
                            </w:sdtPr>
                            <w:sdtContent>
                              <w:r w:rsidRPr="006B2A2C">
                                <w:rPr>
                                  <w:rFonts w:ascii="Times New Roman" w:hAnsi="Times New Roman" w:cs="Times New Roman"/>
                                  <w:b/>
                                  <w:i/>
                                  <w:color w:val="5B9BD5" w:themeColor="accent1"/>
                                  <w:sz w:val="28"/>
                                  <w:szCs w:val="28"/>
                                </w:rPr>
                                <w:t>Francisco Javier Otero Herrero</w:t>
                              </w:r>
                            </w:sdtContent>
                          </w:sdt>
                        </w:p>
                      </w:txbxContent>
                    </v:textbox>
                    <w10:wrap anchorx="margin" anchory="page"/>
                  </v:shape>
                </w:pict>
              </mc:Fallback>
            </mc:AlternateContent>
          </w:r>
          <w:r>
            <w:rPr>
              <w:noProof/>
              <w:color w:val="5B9BD5" w:themeColor="accent1"/>
            </w:rPr>
            <w:drawing>
              <wp:inline distT="0" distB="0" distL="0" distR="0">
                <wp:extent cx="758952" cy="478932"/>
                <wp:effectExtent l="0" t="0" r="3175" b="0"/>
                <wp:docPr id="144"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rsidR="006B2A2C" w:rsidRDefault="006B2A2C">
          <w:pPr>
            <w:spacing w:before="0" w:after="160"/>
            <w:jc w:val="left"/>
          </w:pPr>
          <w:r>
            <w:br w:type="page"/>
          </w:r>
        </w:p>
      </w:sdtContent>
    </w:sdt>
    <w:p w:rsidR="006B2A2C" w:rsidRDefault="006B2A2C" w:rsidP="00EA2AC4"/>
    <w:p w:rsidR="006B2A2C" w:rsidRDefault="006B2A2C">
      <w:pPr>
        <w:spacing w:before="0" w:after="160"/>
        <w:jc w:val="left"/>
      </w:pPr>
      <w:r>
        <w:br w:type="page"/>
      </w:r>
    </w:p>
    <w:sdt>
      <w:sdtPr>
        <w:rPr>
          <w:rFonts w:ascii="Times New Roman" w:hAnsi="Times New Roman" w:cs="Times New Roman"/>
          <w:b/>
          <w:i/>
          <w:color w:val="auto"/>
          <w:sz w:val="44"/>
        </w:rPr>
        <w:id w:val="177853985"/>
        <w:docPartObj>
          <w:docPartGallery w:val="Table of Contents"/>
          <w:docPartUnique/>
        </w:docPartObj>
      </w:sdtPr>
      <w:sdtEndPr>
        <w:rPr>
          <w:rFonts w:asciiTheme="minorHAnsi" w:eastAsiaTheme="minorHAnsi" w:hAnsiTheme="minorHAnsi" w:cstheme="minorBidi"/>
          <w:bCs/>
          <w:i w:val="0"/>
          <w:sz w:val="24"/>
          <w:szCs w:val="22"/>
          <w:lang w:eastAsia="en-US"/>
        </w:rPr>
      </w:sdtEndPr>
      <w:sdtContent>
        <w:p w:rsidR="006B2A2C" w:rsidRPr="006B2A2C" w:rsidRDefault="006B2A2C" w:rsidP="006B2A2C">
          <w:pPr>
            <w:pStyle w:val="TtuloTDC"/>
            <w:rPr>
              <w:rFonts w:ascii="Times New Roman" w:hAnsi="Times New Roman" w:cs="Times New Roman"/>
              <w:b/>
              <w:i/>
              <w:color w:val="auto"/>
              <w:sz w:val="44"/>
            </w:rPr>
          </w:pPr>
          <w:r w:rsidRPr="006B2A2C">
            <w:rPr>
              <w:rFonts w:ascii="Times New Roman" w:hAnsi="Times New Roman" w:cs="Times New Roman"/>
              <w:b/>
              <w:i/>
              <w:color w:val="auto"/>
              <w:sz w:val="44"/>
            </w:rPr>
            <w:t>Contenido</w:t>
          </w:r>
        </w:p>
        <w:p w:rsidR="006B2A2C" w:rsidRPr="006B2A2C" w:rsidRDefault="006B2A2C" w:rsidP="006B2A2C">
          <w:pPr>
            <w:pStyle w:val="TDC1"/>
            <w:tabs>
              <w:tab w:val="right" w:leader="dot" w:pos="8494"/>
            </w:tabs>
            <w:spacing w:before="360" w:after="360"/>
            <w:rPr>
              <w:rFonts w:ascii="Times New Roman" w:hAnsi="Times New Roman" w:cs="Times New Roman"/>
              <w:b/>
              <w:i/>
              <w:noProof/>
              <w:sz w:val="28"/>
            </w:rPr>
          </w:pPr>
          <w:r w:rsidRPr="006B2A2C">
            <w:rPr>
              <w:rFonts w:ascii="Times New Roman" w:hAnsi="Times New Roman" w:cs="Times New Roman"/>
              <w:b/>
              <w:i/>
              <w:sz w:val="28"/>
            </w:rPr>
            <w:fldChar w:fldCharType="begin"/>
          </w:r>
          <w:r w:rsidRPr="006B2A2C">
            <w:rPr>
              <w:rFonts w:ascii="Times New Roman" w:hAnsi="Times New Roman" w:cs="Times New Roman"/>
              <w:b/>
              <w:i/>
              <w:sz w:val="28"/>
            </w:rPr>
            <w:instrText xml:space="preserve"> TOC \o "1-3" \h \z \u </w:instrText>
          </w:r>
          <w:r w:rsidRPr="006B2A2C">
            <w:rPr>
              <w:rFonts w:ascii="Times New Roman" w:hAnsi="Times New Roman" w:cs="Times New Roman"/>
              <w:b/>
              <w:i/>
              <w:sz w:val="28"/>
            </w:rPr>
            <w:fldChar w:fldCharType="separate"/>
          </w:r>
          <w:hyperlink w:anchor="_Toc198635895" w:history="1">
            <w:r w:rsidRPr="006B2A2C">
              <w:rPr>
                <w:rStyle w:val="Hipervnculo"/>
                <w:rFonts w:ascii="Times New Roman" w:hAnsi="Times New Roman" w:cs="Times New Roman"/>
                <w:b/>
                <w:i/>
                <w:noProof/>
                <w:sz w:val="28"/>
              </w:rPr>
              <w:t>Pregunta 1</w:t>
            </w:r>
            <w:r w:rsidRPr="006B2A2C">
              <w:rPr>
                <w:rFonts w:ascii="Times New Roman" w:hAnsi="Times New Roman" w:cs="Times New Roman"/>
                <w:b/>
                <w:i/>
                <w:noProof/>
                <w:webHidden/>
                <w:sz w:val="28"/>
              </w:rPr>
              <w:tab/>
            </w:r>
            <w:r w:rsidRPr="006B2A2C">
              <w:rPr>
                <w:rFonts w:ascii="Times New Roman" w:hAnsi="Times New Roman" w:cs="Times New Roman"/>
                <w:b/>
                <w:i/>
                <w:noProof/>
                <w:webHidden/>
                <w:sz w:val="28"/>
              </w:rPr>
              <w:fldChar w:fldCharType="begin"/>
            </w:r>
            <w:r w:rsidRPr="006B2A2C">
              <w:rPr>
                <w:rFonts w:ascii="Times New Roman" w:hAnsi="Times New Roman" w:cs="Times New Roman"/>
                <w:b/>
                <w:i/>
                <w:noProof/>
                <w:webHidden/>
                <w:sz w:val="28"/>
              </w:rPr>
              <w:instrText xml:space="preserve"> PAGEREF _Toc198635895 \h </w:instrText>
            </w:r>
            <w:r w:rsidRPr="006B2A2C">
              <w:rPr>
                <w:rFonts w:ascii="Times New Roman" w:hAnsi="Times New Roman" w:cs="Times New Roman"/>
                <w:b/>
                <w:i/>
                <w:noProof/>
                <w:webHidden/>
                <w:sz w:val="28"/>
              </w:rPr>
            </w:r>
            <w:r w:rsidRPr="006B2A2C">
              <w:rPr>
                <w:rFonts w:ascii="Times New Roman" w:hAnsi="Times New Roman" w:cs="Times New Roman"/>
                <w:b/>
                <w:i/>
                <w:noProof/>
                <w:webHidden/>
                <w:sz w:val="28"/>
              </w:rPr>
              <w:fldChar w:fldCharType="separate"/>
            </w:r>
            <w:r w:rsidR="00410E82">
              <w:rPr>
                <w:rFonts w:ascii="Times New Roman" w:hAnsi="Times New Roman" w:cs="Times New Roman"/>
                <w:b/>
                <w:i/>
                <w:noProof/>
                <w:webHidden/>
                <w:sz w:val="28"/>
              </w:rPr>
              <w:t>3</w:t>
            </w:r>
            <w:r w:rsidRPr="006B2A2C">
              <w:rPr>
                <w:rFonts w:ascii="Times New Roman" w:hAnsi="Times New Roman" w:cs="Times New Roman"/>
                <w:b/>
                <w:i/>
                <w:noProof/>
                <w:webHidden/>
                <w:sz w:val="28"/>
              </w:rPr>
              <w:fldChar w:fldCharType="end"/>
            </w:r>
          </w:hyperlink>
        </w:p>
        <w:p w:rsidR="006B2A2C" w:rsidRPr="006B2A2C" w:rsidRDefault="006B2A2C" w:rsidP="006B2A2C">
          <w:pPr>
            <w:pStyle w:val="TDC1"/>
            <w:tabs>
              <w:tab w:val="right" w:leader="dot" w:pos="8494"/>
            </w:tabs>
            <w:spacing w:before="360" w:after="360"/>
            <w:rPr>
              <w:rFonts w:ascii="Times New Roman" w:hAnsi="Times New Roman" w:cs="Times New Roman"/>
              <w:b/>
              <w:i/>
              <w:noProof/>
              <w:sz w:val="28"/>
            </w:rPr>
          </w:pPr>
          <w:hyperlink w:anchor="_Toc198635896" w:history="1">
            <w:r w:rsidRPr="006B2A2C">
              <w:rPr>
                <w:rStyle w:val="Hipervnculo"/>
                <w:rFonts w:ascii="Times New Roman" w:hAnsi="Times New Roman" w:cs="Times New Roman"/>
                <w:b/>
                <w:i/>
                <w:noProof/>
                <w:sz w:val="28"/>
              </w:rPr>
              <w:t>Pregunta 2</w:t>
            </w:r>
            <w:r w:rsidRPr="006B2A2C">
              <w:rPr>
                <w:rFonts w:ascii="Times New Roman" w:hAnsi="Times New Roman" w:cs="Times New Roman"/>
                <w:b/>
                <w:i/>
                <w:noProof/>
                <w:webHidden/>
                <w:sz w:val="28"/>
              </w:rPr>
              <w:tab/>
            </w:r>
            <w:r w:rsidRPr="006B2A2C">
              <w:rPr>
                <w:rFonts w:ascii="Times New Roman" w:hAnsi="Times New Roman" w:cs="Times New Roman"/>
                <w:b/>
                <w:i/>
                <w:noProof/>
                <w:webHidden/>
                <w:sz w:val="28"/>
              </w:rPr>
              <w:fldChar w:fldCharType="begin"/>
            </w:r>
            <w:r w:rsidRPr="006B2A2C">
              <w:rPr>
                <w:rFonts w:ascii="Times New Roman" w:hAnsi="Times New Roman" w:cs="Times New Roman"/>
                <w:b/>
                <w:i/>
                <w:noProof/>
                <w:webHidden/>
                <w:sz w:val="28"/>
              </w:rPr>
              <w:instrText xml:space="preserve"> PAGEREF _Toc198635896 \h </w:instrText>
            </w:r>
            <w:r w:rsidRPr="006B2A2C">
              <w:rPr>
                <w:rFonts w:ascii="Times New Roman" w:hAnsi="Times New Roman" w:cs="Times New Roman"/>
                <w:b/>
                <w:i/>
                <w:noProof/>
                <w:webHidden/>
                <w:sz w:val="28"/>
              </w:rPr>
            </w:r>
            <w:r w:rsidRPr="006B2A2C">
              <w:rPr>
                <w:rFonts w:ascii="Times New Roman" w:hAnsi="Times New Roman" w:cs="Times New Roman"/>
                <w:b/>
                <w:i/>
                <w:noProof/>
                <w:webHidden/>
                <w:sz w:val="28"/>
              </w:rPr>
              <w:fldChar w:fldCharType="separate"/>
            </w:r>
            <w:r w:rsidR="00410E82">
              <w:rPr>
                <w:rFonts w:ascii="Times New Roman" w:hAnsi="Times New Roman" w:cs="Times New Roman"/>
                <w:b/>
                <w:i/>
                <w:noProof/>
                <w:webHidden/>
                <w:sz w:val="28"/>
              </w:rPr>
              <w:t>8</w:t>
            </w:r>
            <w:r w:rsidRPr="006B2A2C">
              <w:rPr>
                <w:rFonts w:ascii="Times New Roman" w:hAnsi="Times New Roman" w:cs="Times New Roman"/>
                <w:b/>
                <w:i/>
                <w:noProof/>
                <w:webHidden/>
                <w:sz w:val="28"/>
              </w:rPr>
              <w:fldChar w:fldCharType="end"/>
            </w:r>
          </w:hyperlink>
        </w:p>
        <w:p w:rsidR="006B2A2C" w:rsidRDefault="006B2A2C" w:rsidP="006B2A2C">
          <w:pPr>
            <w:spacing w:before="360" w:after="360"/>
          </w:pPr>
          <w:r w:rsidRPr="006B2A2C">
            <w:rPr>
              <w:rFonts w:ascii="Times New Roman" w:hAnsi="Times New Roman" w:cs="Times New Roman"/>
              <w:b/>
              <w:bCs/>
              <w:i/>
              <w:sz w:val="28"/>
            </w:rPr>
            <w:fldChar w:fldCharType="end"/>
          </w:r>
        </w:p>
      </w:sdtContent>
    </w:sdt>
    <w:p w:rsidR="004E3763" w:rsidRDefault="004E3763" w:rsidP="00EA2AC4"/>
    <w:p w:rsidR="006B2A2C" w:rsidRDefault="006B2A2C" w:rsidP="00C867A4">
      <w:pPr>
        <w:spacing w:before="0" w:after="160"/>
        <w:jc w:val="left"/>
      </w:pPr>
      <w:r>
        <w:br w:type="page"/>
      </w:r>
      <w:bookmarkStart w:id="0" w:name="_GoBack"/>
      <w:bookmarkEnd w:id="0"/>
    </w:p>
    <w:p w:rsidR="006B2A2C" w:rsidRPr="006B2A2C" w:rsidRDefault="006B2A2C" w:rsidP="006B2A2C">
      <w:pPr>
        <w:rPr>
          <w:i/>
          <w:sz w:val="26"/>
          <w:szCs w:val="26"/>
        </w:rPr>
      </w:pPr>
      <w:r w:rsidRPr="006B2A2C">
        <w:rPr>
          <w:i/>
          <w:sz w:val="26"/>
          <w:szCs w:val="26"/>
        </w:rPr>
        <w:lastRenderedPageBreak/>
        <w:t>Contesta a la</w:t>
      </w:r>
      <w:r>
        <w:rPr>
          <w:i/>
          <w:sz w:val="26"/>
          <w:szCs w:val="26"/>
        </w:rPr>
        <w:t>s</w:t>
      </w:r>
      <w:r w:rsidRPr="006B2A2C">
        <w:rPr>
          <w:i/>
          <w:sz w:val="26"/>
          <w:szCs w:val="26"/>
        </w:rPr>
        <w:t xml:space="preserve"> siguiente</w:t>
      </w:r>
      <w:r>
        <w:rPr>
          <w:i/>
          <w:sz w:val="26"/>
          <w:szCs w:val="26"/>
        </w:rPr>
        <w:t>s</w:t>
      </w:r>
      <w:r w:rsidRPr="006B2A2C">
        <w:rPr>
          <w:i/>
          <w:sz w:val="26"/>
          <w:szCs w:val="26"/>
        </w:rPr>
        <w:t xml:space="preserve"> pregunta</w:t>
      </w:r>
      <w:r>
        <w:rPr>
          <w:i/>
          <w:sz w:val="26"/>
          <w:szCs w:val="26"/>
        </w:rPr>
        <w:t>s</w:t>
      </w:r>
      <w:r w:rsidRPr="006B2A2C">
        <w:rPr>
          <w:i/>
          <w:sz w:val="26"/>
          <w:szCs w:val="26"/>
        </w:rPr>
        <w:t xml:space="preserve"> que se plantea de la forma más detallada posible: </w:t>
      </w:r>
    </w:p>
    <w:p w:rsidR="006B2A2C" w:rsidRPr="006B2A2C" w:rsidRDefault="006B2A2C" w:rsidP="006B2A2C">
      <w:pPr>
        <w:pStyle w:val="Ttulo1"/>
        <w:jc w:val="left"/>
        <w:rPr>
          <w:sz w:val="44"/>
        </w:rPr>
      </w:pPr>
      <w:bookmarkStart w:id="1" w:name="_Toc198635895"/>
      <w:r w:rsidRPr="006B2A2C">
        <w:rPr>
          <w:sz w:val="44"/>
        </w:rPr>
        <w:t>Pregunta 1</w:t>
      </w:r>
      <w:bookmarkEnd w:id="1"/>
      <w:r w:rsidRPr="006B2A2C">
        <w:rPr>
          <w:sz w:val="44"/>
        </w:rPr>
        <w:t xml:space="preserve"> </w:t>
      </w:r>
    </w:p>
    <w:p w:rsidR="006B2A2C" w:rsidRDefault="006B2A2C" w:rsidP="006B2A2C">
      <w:pPr>
        <w:rPr>
          <w:b/>
          <w:i/>
        </w:rPr>
      </w:pPr>
      <w:r w:rsidRPr="006B2A2C">
        <w:rPr>
          <w:b/>
          <w:i/>
        </w:rPr>
        <w:t>Realiza una breve descripción de los procesos de arranque y pa</w:t>
      </w:r>
      <w:r w:rsidRPr="006B2A2C">
        <w:rPr>
          <w:b/>
          <w:i/>
        </w:rPr>
        <w:t xml:space="preserve">rada, para qué sirven, que nos </w:t>
      </w:r>
      <w:r w:rsidRPr="006B2A2C">
        <w:rPr>
          <w:b/>
          <w:i/>
        </w:rPr>
        <w:t>proporcionan, qué son las rotaciones de registro, qué opciones d</w:t>
      </w:r>
      <w:r w:rsidRPr="006B2A2C">
        <w:rPr>
          <w:b/>
          <w:i/>
        </w:rPr>
        <w:t xml:space="preserve">e configuración permiten, etc. </w:t>
      </w:r>
      <w:r w:rsidRPr="006B2A2C">
        <w:rPr>
          <w:b/>
          <w:i/>
        </w:rPr>
        <w:t>Puedes realizar una búsqueda en internet para completar la solución.</w:t>
      </w:r>
    </w:p>
    <w:p w:rsidR="006B2A2C" w:rsidRPr="00760041" w:rsidRDefault="006B2A2C" w:rsidP="006B2A2C">
      <w:pPr>
        <w:rPr>
          <w:b/>
          <w:i/>
        </w:rPr>
      </w:pPr>
      <w:r w:rsidRPr="00760041">
        <w:rPr>
          <w:b/>
          <w:i/>
        </w:rPr>
        <w:t>Procesos de Arranque (Startup) de un Servidor Microsoft Exchange</w:t>
      </w:r>
    </w:p>
    <w:p w:rsidR="006B2A2C" w:rsidRDefault="006B2A2C" w:rsidP="006B2A2C">
      <w:r>
        <w:t>El arranque de un servidor Exchange no es simplemente el encendido del hardware; es un proceso orquestado donde el sistema operativo Windows Server inicia, y luego, de forma dependiente, se levantan los complejos s</w:t>
      </w:r>
      <w:r>
        <w:t>ervicios que componen Exchange.</w:t>
      </w:r>
    </w:p>
    <w:p w:rsidR="006B2A2C" w:rsidRDefault="006B2A2C" w:rsidP="00760041">
      <w:pPr>
        <w:pStyle w:val="Prrafodelista"/>
        <w:numPr>
          <w:ilvl w:val="0"/>
          <w:numId w:val="1"/>
        </w:numPr>
        <w:rPr>
          <w:i/>
          <w:sz w:val="26"/>
          <w:szCs w:val="26"/>
        </w:rPr>
      </w:pPr>
      <w:r w:rsidRPr="00760041">
        <w:rPr>
          <w:i/>
          <w:sz w:val="26"/>
          <w:szCs w:val="26"/>
        </w:rPr>
        <w:t xml:space="preserve">Fases </w:t>
      </w:r>
      <w:r w:rsidRPr="00760041">
        <w:rPr>
          <w:i/>
          <w:sz w:val="26"/>
          <w:szCs w:val="26"/>
        </w:rPr>
        <w:t>Clave del Arranque de Exchange:</w:t>
      </w:r>
    </w:p>
    <w:p w:rsidR="00760041" w:rsidRPr="00760041" w:rsidRDefault="00760041" w:rsidP="00760041">
      <w:pPr>
        <w:pStyle w:val="Prrafodelista"/>
        <w:ind w:left="502"/>
        <w:rPr>
          <w:i/>
          <w:sz w:val="26"/>
          <w:szCs w:val="26"/>
        </w:rPr>
      </w:pPr>
    </w:p>
    <w:p w:rsidR="006B2A2C" w:rsidRDefault="006B2A2C" w:rsidP="00760041">
      <w:pPr>
        <w:pStyle w:val="Prrafodelista"/>
        <w:numPr>
          <w:ilvl w:val="0"/>
          <w:numId w:val="2"/>
        </w:numPr>
      </w:pPr>
      <w:r w:rsidRPr="00760041">
        <w:rPr>
          <w:b/>
          <w:i/>
        </w:rPr>
        <w:t>Arranque del Sistema Operativo Windows Server:</w:t>
      </w:r>
      <w:r>
        <w:t xml:space="preserve"> El proceso comienza con el encendido físico de</w:t>
      </w:r>
      <w:r w:rsidR="00760041">
        <w:t xml:space="preserve">l servidor, el POST de la </w:t>
      </w:r>
      <w:r>
        <w:t>BIOS/UEFI, la carga del bootloader y el kernel de Windows Server. Se inicializan los componentes básicos del SO.</w:t>
      </w:r>
    </w:p>
    <w:p w:rsidR="00C867A4" w:rsidRDefault="00C867A4" w:rsidP="00C867A4">
      <w:pPr>
        <w:pStyle w:val="Prrafodelista"/>
        <w:ind w:left="502"/>
      </w:pPr>
    </w:p>
    <w:p w:rsidR="006B2A2C" w:rsidRDefault="006B2A2C" w:rsidP="00760041">
      <w:pPr>
        <w:pStyle w:val="Prrafodelista"/>
        <w:numPr>
          <w:ilvl w:val="0"/>
          <w:numId w:val="2"/>
        </w:numPr>
      </w:pPr>
      <w:r w:rsidRPr="00C867A4">
        <w:rPr>
          <w:b/>
          <w:i/>
        </w:rPr>
        <w:t>Inicio del Servicio de Administración de Exchange (Microsoft Exchange Service Host):</w:t>
      </w:r>
      <w:r>
        <w:t xml:space="preserve"> Este es uno de los primeros servicios clave de Exchange en iniciarse. Actúa como un "director de orquesta", gestionando el inicio y la supervisión de muchos otros servicios de Exchange, así como la configuración y el estado de la organización.</w:t>
      </w:r>
    </w:p>
    <w:p w:rsidR="00C867A4" w:rsidRDefault="00C867A4" w:rsidP="00C867A4">
      <w:pPr>
        <w:pStyle w:val="Prrafodelista"/>
      </w:pPr>
    </w:p>
    <w:p w:rsidR="00C867A4" w:rsidRDefault="00C867A4" w:rsidP="00C867A4">
      <w:pPr>
        <w:pStyle w:val="Prrafodelista"/>
        <w:ind w:left="502"/>
      </w:pPr>
    </w:p>
    <w:p w:rsidR="00C867A4" w:rsidRDefault="006B2A2C" w:rsidP="00C867A4">
      <w:pPr>
        <w:pStyle w:val="Prrafodelista"/>
        <w:numPr>
          <w:ilvl w:val="0"/>
          <w:numId w:val="2"/>
        </w:numPr>
      </w:pPr>
      <w:r w:rsidRPr="00C867A4">
        <w:rPr>
          <w:b/>
          <w:i/>
        </w:rPr>
        <w:t>Inicio del Servicio de Almacén de Información de Microsoft Exchange (Microsoft Exchange Information Store):</w:t>
      </w:r>
      <w:r>
        <w:t xml:space="preserve"> Este es un servicio central. Es responsable de la gestión de las bases de datos de buzones (EDB files) y de carpetas públicas. Su inicio implica:</w:t>
      </w:r>
    </w:p>
    <w:p w:rsidR="00C867A4" w:rsidRDefault="00C867A4" w:rsidP="00C867A4">
      <w:pPr>
        <w:pStyle w:val="Prrafodelista"/>
        <w:ind w:left="502"/>
      </w:pPr>
    </w:p>
    <w:p w:rsidR="006B2A2C" w:rsidRPr="00C867A4" w:rsidRDefault="006B2A2C" w:rsidP="00C867A4">
      <w:pPr>
        <w:pStyle w:val="Prrafodelista"/>
        <w:numPr>
          <w:ilvl w:val="0"/>
          <w:numId w:val="3"/>
        </w:numPr>
        <w:rPr>
          <w:i/>
        </w:rPr>
      </w:pPr>
      <w:r w:rsidRPr="00C867A4">
        <w:rPr>
          <w:i/>
        </w:rPr>
        <w:t>Verificación de la integridad de las bases de datos de buzones (puede realizar una verificación de coherencia si la última parada no fue limpia).</w:t>
      </w:r>
    </w:p>
    <w:p w:rsidR="006B2A2C" w:rsidRPr="00C867A4" w:rsidRDefault="006B2A2C" w:rsidP="00C867A4">
      <w:pPr>
        <w:pStyle w:val="Prrafodelista"/>
        <w:numPr>
          <w:ilvl w:val="0"/>
          <w:numId w:val="3"/>
        </w:numPr>
        <w:rPr>
          <w:i/>
        </w:rPr>
      </w:pPr>
      <w:r w:rsidRPr="00C867A4">
        <w:rPr>
          <w:i/>
        </w:rPr>
        <w:t>Montaje de las bases de datos, lo que las hace accesibles para los usuarios y otros servicios de Exchange.</w:t>
      </w:r>
    </w:p>
    <w:p w:rsidR="00C867A4" w:rsidRPr="00C867A4" w:rsidRDefault="006B2A2C" w:rsidP="00C867A4">
      <w:pPr>
        <w:pStyle w:val="Prrafodelista"/>
        <w:numPr>
          <w:ilvl w:val="0"/>
          <w:numId w:val="3"/>
        </w:numPr>
        <w:rPr>
          <w:i/>
        </w:rPr>
      </w:pPr>
      <w:r w:rsidRPr="00C867A4">
        <w:rPr>
          <w:i/>
        </w:rPr>
        <w:t>Si hay grupos de disponibilidad de base de datos (DAG), se gestiona el estado de las copias de la base de datos y su posible activación.</w:t>
      </w:r>
    </w:p>
    <w:p w:rsidR="00C867A4" w:rsidRDefault="00C867A4">
      <w:pPr>
        <w:spacing w:before="0" w:after="160" w:line="259" w:lineRule="auto"/>
        <w:jc w:val="left"/>
      </w:pPr>
      <w:r>
        <w:br w:type="page"/>
      </w:r>
    </w:p>
    <w:p w:rsidR="00C867A4" w:rsidRDefault="00C867A4" w:rsidP="00C867A4">
      <w:pPr>
        <w:pStyle w:val="Prrafodelista"/>
        <w:ind w:left="1352"/>
      </w:pPr>
    </w:p>
    <w:p w:rsidR="006B2A2C" w:rsidRDefault="00C867A4" w:rsidP="00C867A4">
      <w:pPr>
        <w:pStyle w:val="Prrafodelista"/>
        <w:numPr>
          <w:ilvl w:val="0"/>
          <w:numId w:val="2"/>
        </w:numPr>
        <w:spacing w:after="240"/>
        <w:ind w:left="499" w:hanging="357"/>
      </w:pPr>
      <w:r>
        <w:rPr>
          <w:b/>
          <w:i/>
        </w:rPr>
        <w:t>I</w:t>
      </w:r>
      <w:r w:rsidR="006B2A2C" w:rsidRPr="00C867A4">
        <w:rPr>
          <w:b/>
          <w:i/>
        </w:rPr>
        <w:t>nicio del Servicio de Transporte de Microsoft Exchange (Microsoft Exchange Transport):</w:t>
      </w:r>
      <w:r w:rsidR="006B2A2C">
        <w:t xml:space="preserve"> Este servicio es vital para el flujo de correo dentro y fuera de la organización. Se encarga de:</w:t>
      </w:r>
    </w:p>
    <w:p w:rsidR="00C867A4" w:rsidRDefault="00C867A4" w:rsidP="00C867A4">
      <w:pPr>
        <w:pStyle w:val="Prrafodelista"/>
        <w:spacing w:after="240"/>
        <w:ind w:left="499"/>
      </w:pPr>
    </w:p>
    <w:p w:rsidR="006B2A2C" w:rsidRPr="00C867A4" w:rsidRDefault="006B2A2C" w:rsidP="00C867A4">
      <w:pPr>
        <w:pStyle w:val="Prrafodelista"/>
        <w:numPr>
          <w:ilvl w:val="0"/>
          <w:numId w:val="3"/>
        </w:numPr>
        <w:spacing w:before="360"/>
        <w:ind w:left="1349" w:hanging="357"/>
        <w:rPr>
          <w:i/>
        </w:rPr>
      </w:pPr>
      <w:r w:rsidRPr="00C867A4">
        <w:rPr>
          <w:i/>
        </w:rPr>
        <w:t>Recibir correos electrónicos (de clientes, de otros servidores Exchange, de Internet).</w:t>
      </w:r>
    </w:p>
    <w:p w:rsidR="006B2A2C" w:rsidRPr="00C867A4" w:rsidRDefault="006B2A2C" w:rsidP="00C867A4">
      <w:pPr>
        <w:pStyle w:val="Prrafodelista"/>
        <w:numPr>
          <w:ilvl w:val="0"/>
          <w:numId w:val="3"/>
        </w:numPr>
        <w:rPr>
          <w:i/>
        </w:rPr>
      </w:pPr>
      <w:r w:rsidRPr="00C867A4">
        <w:rPr>
          <w:i/>
        </w:rPr>
        <w:t>Enrutar los correos a los buzones correctos o a otros servidores de transporte.</w:t>
      </w:r>
    </w:p>
    <w:p w:rsidR="006B2A2C" w:rsidRPr="00C867A4" w:rsidRDefault="006B2A2C" w:rsidP="00C867A4">
      <w:pPr>
        <w:pStyle w:val="Prrafodelista"/>
        <w:numPr>
          <w:ilvl w:val="0"/>
          <w:numId w:val="3"/>
        </w:numPr>
        <w:rPr>
          <w:i/>
        </w:rPr>
      </w:pPr>
      <w:r w:rsidRPr="00C867A4">
        <w:rPr>
          <w:i/>
        </w:rPr>
        <w:t>Aplicar reglas de transporte, antivirus/antispam (si se usan los agentes de transporte integrados).</w:t>
      </w:r>
    </w:p>
    <w:p w:rsidR="006B2A2C" w:rsidRDefault="006B2A2C" w:rsidP="00C867A4">
      <w:pPr>
        <w:pStyle w:val="Prrafodelista"/>
        <w:numPr>
          <w:ilvl w:val="0"/>
          <w:numId w:val="3"/>
        </w:numPr>
        <w:rPr>
          <w:i/>
        </w:rPr>
      </w:pPr>
      <w:r w:rsidRPr="00C867A4">
        <w:rPr>
          <w:i/>
        </w:rPr>
        <w:t>Gestionar las colas de mensajes.</w:t>
      </w:r>
    </w:p>
    <w:p w:rsidR="00C867A4" w:rsidRPr="00C867A4" w:rsidRDefault="00C867A4" w:rsidP="00C867A4">
      <w:pPr>
        <w:pStyle w:val="Prrafodelista"/>
        <w:ind w:left="1352"/>
        <w:rPr>
          <w:i/>
        </w:rPr>
      </w:pPr>
    </w:p>
    <w:p w:rsidR="006B2A2C" w:rsidRDefault="006B2A2C" w:rsidP="00760041">
      <w:pPr>
        <w:pStyle w:val="Prrafodelista"/>
        <w:numPr>
          <w:ilvl w:val="0"/>
          <w:numId w:val="2"/>
        </w:numPr>
      </w:pPr>
      <w:r w:rsidRPr="00C867A4">
        <w:rPr>
          <w:b/>
          <w:i/>
        </w:rPr>
        <w:t>Inicio de los Servicios de Acceso de Cliente (Client Access Services - CAS):</w:t>
      </w:r>
      <w:r>
        <w:t xml:space="preserve"> Estos servicios permiten a los usuarios acceder a sus buzones a través de diversas interfaces:</w:t>
      </w:r>
    </w:p>
    <w:p w:rsidR="00C867A4" w:rsidRDefault="00C867A4" w:rsidP="00C867A4">
      <w:pPr>
        <w:pStyle w:val="Prrafodelista"/>
        <w:ind w:left="502"/>
      </w:pPr>
    </w:p>
    <w:p w:rsidR="006B2A2C" w:rsidRPr="00C867A4" w:rsidRDefault="006B2A2C" w:rsidP="00C867A4">
      <w:pPr>
        <w:pStyle w:val="Prrafodelista"/>
        <w:numPr>
          <w:ilvl w:val="0"/>
          <w:numId w:val="3"/>
        </w:numPr>
        <w:spacing w:before="360"/>
        <w:ind w:left="1349" w:hanging="357"/>
        <w:rPr>
          <w:i/>
        </w:rPr>
      </w:pPr>
      <w:r w:rsidRPr="00C867A4">
        <w:rPr>
          <w:i/>
        </w:rPr>
        <w:t>Servicio de Disponibilidad (Availability service): Para información de disponibilidad de calendarios.</w:t>
      </w:r>
    </w:p>
    <w:p w:rsidR="006B2A2C" w:rsidRPr="00C867A4" w:rsidRDefault="006B2A2C" w:rsidP="00C867A4">
      <w:pPr>
        <w:pStyle w:val="Prrafodelista"/>
        <w:numPr>
          <w:ilvl w:val="0"/>
          <w:numId w:val="3"/>
        </w:numPr>
        <w:spacing w:before="360"/>
        <w:ind w:left="1349" w:hanging="357"/>
        <w:rPr>
          <w:i/>
        </w:rPr>
      </w:pPr>
      <w:r w:rsidRPr="00C867A4">
        <w:rPr>
          <w:i/>
        </w:rPr>
        <w:t>Servicio de Detección Automática (Autodiscover service): Permite a clientes como Outlook y dispositivos móviles configurar automáticamente los ajustes de conexión.</w:t>
      </w:r>
    </w:p>
    <w:p w:rsidR="006B2A2C" w:rsidRDefault="006B2A2C" w:rsidP="00C867A4">
      <w:pPr>
        <w:pStyle w:val="Prrafodelista"/>
        <w:numPr>
          <w:ilvl w:val="0"/>
          <w:numId w:val="3"/>
        </w:numPr>
        <w:spacing w:before="360"/>
        <w:ind w:left="1349" w:hanging="357"/>
        <w:rPr>
          <w:i/>
        </w:rPr>
      </w:pPr>
      <w:r w:rsidRPr="00C867A4">
        <w:rPr>
          <w:i/>
        </w:rPr>
        <w:t>Servicio de Cliente de Acceso de Cliente (Client Access service): Para las conexiones IMAP/POP3/SMTP (si se usan), y para OWA (Outlook on the web), EAS (Exchange ActiveSync) y Outlook Anywhere.</w:t>
      </w:r>
    </w:p>
    <w:p w:rsidR="00C867A4" w:rsidRPr="00C867A4" w:rsidRDefault="00C867A4" w:rsidP="00C867A4">
      <w:pPr>
        <w:pStyle w:val="Prrafodelista"/>
        <w:spacing w:before="360"/>
        <w:ind w:left="1349"/>
        <w:rPr>
          <w:i/>
        </w:rPr>
      </w:pPr>
    </w:p>
    <w:p w:rsidR="006B2A2C" w:rsidRDefault="006B2A2C" w:rsidP="00760041">
      <w:pPr>
        <w:pStyle w:val="Prrafodelista"/>
        <w:numPr>
          <w:ilvl w:val="0"/>
          <w:numId w:val="2"/>
        </w:numPr>
      </w:pPr>
      <w:r w:rsidRPr="00C867A4">
        <w:rPr>
          <w:b/>
          <w:i/>
        </w:rPr>
        <w:t>Inicio de Otros Servicios Auxiliares:</w:t>
      </w:r>
      <w:r>
        <w:t xml:space="preserve"> Muchos otros servicios de Exchange se inician para soportar diversas funciones, como:</w:t>
      </w:r>
    </w:p>
    <w:p w:rsidR="00C867A4" w:rsidRDefault="00C867A4" w:rsidP="00C867A4">
      <w:pPr>
        <w:pStyle w:val="Prrafodelista"/>
        <w:ind w:left="502"/>
      </w:pPr>
    </w:p>
    <w:p w:rsidR="006B2A2C" w:rsidRPr="00C867A4" w:rsidRDefault="006B2A2C" w:rsidP="00C867A4">
      <w:pPr>
        <w:pStyle w:val="Prrafodelista"/>
        <w:numPr>
          <w:ilvl w:val="0"/>
          <w:numId w:val="3"/>
        </w:numPr>
        <w:spacing w:before="360"/>
        <w:ind w:left="1349" w:hanging="357"/>
        <w:rPr>
          <w:i/>
        </w:rPr>
      </w:pPr>
      <w:r w:rsidRPr="00C867A4">
        <w:rPr>
          <w:b/>
          <w:i/>
        </w:rPr>
        <w:t>Microsoft Exchange Mailbox Assistants:</w:t>
      </w:r>
      <w:r w:rsidRPr="00C867A4">
        <w:rPr>
          <w:i/>
        </w:rPr>
        <w:t xml:space="preserve"> Realizan tareas en segundo plano en las bases de datos de buzones (por ejemplo, aplicación de políticas de retención, creación de índices de búsqueda).</w:t>
      </w:r>
    </w:p>
    <w:p w:rsidR="006B2A2C" w:rsidRPr="00C867A4" w:rsidRDefault="006B2A2C" w:rsidP="00C867A4">
      <w:pPr>
        <w:pStyle w:val="Prrafodelista"/>
        <w:numPr>
          <w:ilvl w:val="0"/>
          <w:numId w:val="3"/>
        </w:numPr>
        <w:spacing w:before="360"/>
        <w:ind w:left="1349" w:hanging="357"/>
        <w:rPr>
          <w:i/>
        </w:rPr>
      </w:pPr>
      <w:r w:rsidRPr="00C867A4">
        <w:rPr>
          <w:b/>
        </w:rPr>
        <w:t>Microsoft Exchange Unified Messaging (si se usa):</w:t>
      </w:r>
      <w:r w:rsidRPr="00C867A4">
        <w:rPr>
          <w:i/>
        </w:rPr>
        <w:t xml:space="preserve"> Para correo de voz y fax.</w:t>
      </w:r>
    </w:p>
    <w:p w:rsidR="00C867A4" w:rsidRDefault="006B2A2C" w:rsidP="00C867A4">
      <w:pPr>
        <w:pStyle w:val="Prrafodelista"/>
        <w:numPr>
          <w:ilvl w:val="0"/>
          <w:numId w:val="3"/>
        </w:numPr>
        <w:spacing w:before="360"/>
        <w:ind w:left="1349" w:hanging="357"/>
        <w:rPr>
          <w:i/>
        </w:rPr>
      </w:pPr>
      <w:r w:rsidRPr="00C867A4">
        <w:rPr>
          <w:b/>
        </w:rPr>
        <w:t>Microsoft Exchange Search:</w:t>
      </w:r>
      <w:r w:rsidRPr="00C867A4">
        <w:rPr>
          <w:i/>
        </w:rPr>
        <w:t xml:space="preserve"> Para la indexación de contenido y la búsqueda</w:t>
      </w:r>
    </w:p>
    <w:p w:rsidR="00C867A4" w:rsidRDefault="00C867A4">
      <w:pPr>
        <w:spacing w:before="0" w:after="160" w:line="259" w:lineRule="auto"/>
        <w:jc w:val="left"/>
      </w:pPr>
      <w:r>
        <w:br w:type="page"/>
      </w:r>
    </w:p>
    <w:p w:rsidR="00C867A4" w:rsidRDefault="00C867A4">
      <w:pPr>
        <w:spacing w:before="0" w:after="160" w:line="259" w:lineRule="auto"/>
        <w:jc w:val="left"/>
      </w:pPr>
    </w:p>
    <w:p w:rsidR="006B2A2C" w:rsidRPr="00760041" w:rsidRDefault="006B2A2C" w:rsidP="006B2A2C">
      <w:pPr>
        <w:rPr>
          <w:b/>
        </w:rPr>
      </w:pPr>
      <w:r w:rsidRPr="00760041">
        <w:rPr>
          <w:b/>
        </w:rPr>
        <w:t>¿Para qué sirven los procesos de arranque de E</w:t>
      </w:r>
      <w:r w:rsidRPr="00760041">
        <w:rPr>
          <w:b/>
        </w:rPr>
        <w:t>xchange? ¿Qué nos proporcionan?</w:t>
      </w:r>
    </w:p>
    <w:p w:rsidR="006B2A2C" w:rsidRDefault="006B2A2C" w:rsidP="00C867A4">
      <w:pPr>
        <w:pStyle w:val="Prrafodelista"/>
        <w:numPr>
          <w:ilvl w:val="0"/>
          <w:numId w:val="4"/>
        </w:numPr>
      </w:pPr>
      <w:r w:rsidRPr="00C867A4">
        <w:rPr>
          <w:b/>
          <w:i/>
        </w:rPr>
        <w:t>Disponibilidad del Servicio de Correo:</w:t>
      </w:r>
      <w:r>
        <w:t xml:space="preserve"> El objetivo principal es poner en funcionamiento todos los componentes necesarios para que el correo electrónico fluya, y los usuarios puedan acceder a sus buzones.</w:t>
      </w:r>
    </w:p>
    <w:p w:rsidR="006B2A2C" w:rsidRDefault="006B2A2C" w:rsidP="00C867A4">
      <w:pPr>
        <w:pStyle w:val="Prrafodelista"/>
        <w:numPr>
          <w:ilvl w:val="0"/>
          <w:numId w:val="4"/>
        </w:numPr>
      </w:pPr>
      <w:r w:rsidRPr="00C867A4">
        <w:rPr>
          <w:b/>
          <w:i/>
        </w:rPr>
        <w:t xml:space="preserve">Integración con Active Directory: </w:t>
      </w:r>
      <w:r>
        <w:t>Exchange se integra profundamente con Active Directory (AD). Durante el arranque, los servicios de Exchange interactúan con AD para cargar configuraciones, autenticar usuarios y resolver direcciones.</w:t>
      </w:r>
    </w:p>
    <w:p w:rsidR="006B2A2C" w:rsidRDefault="006B2A2C" w:rsidP="00C867A4">
      <w:pPr>
        <w:pStyle w:val="Prrafodelista"/>
        <w:numPr>
          <w:ilvl w:val="0"/>
          <w:numId w:val="4"/>
        </w:numPr>
      </w:pPr>
      <w:r w:rsidRPr="00C867A4">
        <w:rPr>
          <w:b/>
          <w:i/>
        </w:rPr>
        <w:t xml:space="preserve">Recuperación y Resiliencia: </w:t>
      </w:r>
      <w:r>
        <w:t>En caso de un fallo inesperado, el proceso de arranque está diseñado para intentar recuperar las bases de datos de buzones y restablecer los servicios, aunque una parada abrupta puede requerir más tiempo para la verificación de integridad.</w:t>
      </w:r>
    </w:p>
    <w:p w:rsidR="00C867A4" w:rsidRDefault="006B2A2C" w:rsidP="00C867A4">
      <w:pPr>
        <w:pStyle w:val="Prrafodelista"/>
        <w:numPr>
          <w:ilvl w:val="0"/>
          <w:numId w:val="4"/>
        </w:numPr>
      </w:pPr>
      <w:r w:rsidRPr="00C867A4">
        <w:rPr>
          <w:b/>
          <w:i/>
        </w:rPr>
        <w:t xml:space="preserve">Preparación para la comunicación: </w:t>
      </w:r>
      <w:r>
        <w:t>Los servicios de transporte se preparan para enviar y recibir correos de Internet y de otros servidores Exchange.</w:t>
      </w:r>
    </w:p>
    <w:p w:rsidR="00C867A4" w:rsidRDefault="00C867A4" w:rsidP="00C867A4">
      <w:pPr>
        <w:rPr>
          <w:b/>
          <w:i/>
        </w:rPr>
      </w:pPr>
      <w:r w:rsidRPr="00C867A4">
        <w:rPr>
          <w:b/>
          <w:i/>
        </w:rPr>
        <w:t>Procesos de Parada (Shutdown) de un Servidor Microsoft Exchange</w:t>
      </w:r>
    </w:p>
    <w:p w:rsidR="00C867A4" w:rsidRDefault="00C867A4" w:rsidP="00C867A4">
      <w:r>
        <w:t>La parada de un servidor Exchange debe ser un proceso controlado para asegurar la integridad de las bases de datos y evitar la pérdida de datos o la corrupción. Una parada abrupta (por ejemplo, un corte de energía) puede llevar a bases de datos en un estado inconsistente, requiriendo más tiempo y posibles reparac</w:t>
      </w:r>
      <w:r>
        <w:t>iones en el siguiente arranque.</w:t>
      </w:r>
    </w:p>
    <w:p w:rsidR="00C867A4" w:rsidRDefault="00C867A4" w:rsidP="00C867A4">
      <w:pPr>
        <w:pStyle w:val="Prrafodelista"/>
        <w:numPr>
          <w:ilvl w:val="0"/>
          <w:numId w:val="1"/>
        </w:numPr>
        <w:rPr>
          <w:i/>
          <w:sz w:val="26"/>
          <w:szCs w:val="26"/>
        </w:rPr>
      </w:pPr>
      <w:r w:rsidRPr="00C867A4">
        <w:rPr>
          <w:i/>
          <w:sz w:val="26"/>
          <w:szCs w:val="26"/>
        </w:rPr>
        <w:t>Fases Clave de la Parada de Exchange:</w:t>
      </w:r>
    </w:p>
    <w:p w:rsidR="002671E9" w:rsidRDefault="002671E9" w:rsidP="002671E9">
      <w:pPr>
        <w:pStyle w:val="Prrafodelista"/>
        <w:ind w:left="360"/>
        <w:rPr>
          <w:i/>
          <w:sz w:val="26"/>
          <w:szCs w:val="26"/>
        </w:rPr>
      </w:pPr>
    </w:p>
    <w:p w:rsidR="002671E9" w:rsidRDefault="002671E9" w:rsidP="002671E9">
      <w:pPr>
        <w:pStyle w:val="Prrafodelista"/>
        <w:numPr>
          <w:ilvl w:val="0"/>
          <w:numId w:val="5"/>
        </w:numPr>
      </w:pPr>
      <w:r w:rsidRPr="002671E9">
        <w:rPr>
          <w:b/>
          <w:i/>
        </w:rPr>
        <w:t>Detención de Servicios de Acceso de Cliente (CAS):</w:t>
      </w:r>
      <w:r>
        <w:t xml:space="preserve"> Se detienen los servicios que permiten a los clientes conectarse. Esto ayuda a que los usuarios finalicen sus sesiones de forma ordenada.</w:t>
      </w:r>
    </w:p>
    <w:p w:rsidR="002671E9" w:rsidRDefault="002671E9" w:rsidP="002671E9">
      <w:pPr>
        <w:pStyle w:val="Prrafodelista"/>
        <w:numPr>
          <w:ilvl w:val="0"/>
          <w:numId w:val="5"/>
        </w:numPr>
      </w:pPr>
      <w:r w:rsidRPr="002671E9">
        <w:rPr>
          <w:b/>
          <w:i/>
        </w:rPr>
        <w:t>Detención del Servicio de Transporte de Microsoft Exchange:</w:t>
      </w:r>
      <w:r>
        <w:t xml:space="preserve"> Se detiene el flujo de correo. Las colas de mensajes se vacían o se gestionan para asegurar que no se pierdan correos en tránsito.</w:t>
      </w:r>
    </w:p>
    <w:p w:rsidR="002671E9" w:rsidRDefault="002671E9" w:rsidP="002671E9">
      <w:pPr>
        <w:pStyle w:val="Prrafodelista"/>
        <w:numPr>
          <w:ilvl w:val="0"/>
          <w:numId w:val="5"/>
        </w:numPr>
      </w:pPr>
      <w:r w:rsidRPr="002671E9">
        <w:rPr>
          <w:b/>
          <w:i/>
        </w:rPr>
        <w:t>Detención del Servicio de Almacén de Información de Microsoft Exchange:</w:t>
      </w:r>
      <w:r>
        <w:t xml:space="preserve"> Este es uno de los últimos servicios críticos en detenerse. Durante esta fase:</w:t>
      </w:r>
    </w:p>
    <w:p w:rsidR="002671E9" w:rsidRDefault="002671E9" w:rsidP="002671E9">
      <w:pPr>
        <w:pStyle w:val="Prrafodelista"/>
        <w:ind w:left="502"/>
      </w:pPr>
    </w:p>
    <w:p w:rsidR="002671E9" w:rsidRPr="001065CB" w:rsidRDefault="002671E9" w:rsidP="002671E9">
      <w:pPr>
        <w:pStyle w:val="Prrafodelista"/>
        <w:numPr>
          <w:ilvl w:val="0"/>
          <w:numId w:val="6"/>
        </w:numPr>
        <w:rPr>
          <w:i/>
        </w:rPr>
      </w:pPr>
      <w:r w:rsidRPr="001065CB">
        <w:rPr>
          <w:i/>
        </w:rPr>
        <w:t>Se detienen las operaciones de escritura en las bases de datos.</w:t>
      </w:r>
    </w:p>
    <w:p w:rsidR="002671E9" w:rsidRPr="001065CB" w:rsidRDefault="002671E9" w:rsidP="002671E9">
      <w:pPr>
        <w:pStyle w:val="Prrafodelista"/>
        <w:numPr>
          <w:ilvl w:val="0"/>
          <w:numId w:val="6"/>
        </w:numPr>
        <w:rPr>
          <w:i/>
        </w:rPr>
      </w:pPr>
      <w:r w:rsidRPr="001065CB">
        <w:rPr>
          <w:i/>
        </w:rPr>
        <w:t>Los datos en caché se escriben en los archivos de base de datos (.edb) y los archivos de registro de transacciones (.log).</w:t>
      </w:r>
    </w:p>
    <w:p w:rsidR="002671E9" w:rsidRPr="001065CB" w:rsidRDefault="002671E9" w:rsidP="002671E9">
      <w:pPr>
        <w:pStyle w:val="Prrafodelista"/>
        <w:numPr>
          <w:ilvl w:val="0"/>
          <w:numId w:val="6"/>
        </w:numPr>
        <w:rPr>
          <w:i/>
        </w:rPr>
      </w:pPr>
      <w:r w:rsidRPr="001065CB">
        <w:rPr>
          <w:i/>
        </w:rPr>
        <w:t>Se desmontan las bases de datos, dejándolas en un estado "limpio" o de "apagado limpio" (clean shutdown), lo cual es crucial para un arranque rápido y sin errores la próxima vez.</w:t>
      </w:r>
    </w:p>
    <w:p w:rsidR="002671E9" w:rsidRDefault="002671E9" w:rsidP="002671E9">
      <w:pPr>
        <w:pStyle w:val="Prrafodelista"/>
        <w:numPr>
          <w:ilvl w:val="0"/>
          <w:numId w:val="6"/>
        </w:numPr>
        <w:rPr>
          <w:i/>
        </w:rPr>
      </w:pPr>
      <w:r w:rsidRPr="001065CB">
        <w:rPr>
          <w:i/>
        </w:rPr>
        <w:t>Si hay DAGs, se asegura que las copias pasivas no se vean afectadas y que el rol de base de datos pueda ser asumido por otro miembro del DAG.</w:t>
      </w:r>
    </w:p>
    <w:p w:rsidR="001065CB" w:rsidRDefault="001065CB">
      <w:pPr>
        <w:spacing w:before="0" w:after="160" w:line="259" w:lineRule="auto"/>
        <w:jc w:val="left"/>
        <w:rPr>
          <w:i/>
        </w:rPr>
      </w:pPr>
      <w:r>
        <w:rPr>
          <w:i/>
        </w:rPr>
        <w:br w:type="page"/>
      </w:r>
    </w:p>
    <w:p w:rsidR="001065CB" w:rsidRPr="001065CB" w:rsidRDefault="001065CB" w:rsidP="001065CB">
      <w:pPr>
        <w:pStyle w:val="Prrafodelista"/>
        <w:ind w:left="1069"/>
        <w:rPr>
          <w:i/>
        </w:rPr>
      </w:pPr>
    </w:p>
    <w:p w:rsidR="002671E9" w:rsidRPr="001065CB" w:rsidRDefault="002671E9" w:rsidP="001065CB">
      <w:pPr>
        <w:pStyle w:val="Prrafodelista"/>
        <w:numPr>
          <w:ilvl w:val="0"/>
          <w:numId w:val="5"/>
        </w:numPr>
      </w:pPr>
      <w:r w:rsidRPr="001065CB">
        <w:rPr>
          <w:b/>
          <w:i/>
        </w:rPr>
        <w:t xml:space="preserve">Detención del Servicio de Administración de Exchange: </w:t>
      </w:r>
      <w:r w:rsidRPr="001065CB">
        <w:t>Este servicio se detiene después de que la mayoría de los servicios de Exchange hayan sido apagados.</w:t>
      </w:r>
    </w:p>
    <w:p w:rsidR="002671E9" w:rsidRPr="001065CB" w:rsidRDefault="002671E9" w:rsidP="001065CB">
      <w:pPr>
        <w:pStyle w:val="Prrafodelista"/>
        <w:numPr>
          <w:ilvl w:val="0"/>
          <w:numId w:val="5"/>
        </w:numPr>
      </w:pPr>
      <w:r w:rsidRPr="001065CB">
        <w:rPr>
          <w:b/>
          <w:i/>
        </w:rPr>
        <w:t xml:space="preserve">Apagado del Sistema Operativo Windows Server: </w:t>
      </w:r>
      <w:r w:rsidRPr="001065CB">
        <w:t>Una vez que todos los servicios de Exchange se han detenido limpiamente, el sistema operativo puede apagarse de forma segura.</w:t>
      </w:r>
    </w:p>
    <w:p w:rsidR="002671E9" w:rsidRPr="001065CB" w:rsidRDefault="002671E9" w:rsidP="002671E9">
      <w:pPr>
        <w:rPr>
          <w:b/>
        </w:rPr>
      </w:pPr>
      <w:r w:rsidRPr="001065CB">
        <w:rPr>
          <w:b/>
        </w:rPr>
        <w:t>¿Para qué sirven los procesos de parada de E</w:t>
      </w:r>
      <w:r w:rsidR="001065CB" w:rsidRPr="001065CB">
        <w:rPr>
          <w:b/>
        </w:rPr>
        <w:t>xchange? ¿Qué nos proporcionan?</w:t>
      </w:r>
    </w:p>
    <w:p w:rsidR="002671E9" w:rsidRPr="001065CB" w:rsidRDefault="002671E9" w:rsidP="001065CB">
      <w:pPr>
        <w:pStyle w:val="Prrafodelista"/>
        <w:numPr>
          <w:ilvl w:val="0"/>
          <w:numId w:val="4"/>
        </w:numPr>
      </w:pPr>
      <w:r w:rsidRPr="001065CB">
        <w:rPr>
          <w:b/>
          <w:i/>
        </w:rPr>
        <w:t xml:space="preserve">Integridad de la base de datos: </w:t>
      </w:r>
      <w:r w:rsidRPr="001065CB">
        <w:t>El objetivo primordial es asegurar que las bases de datos de buzones se detengan limpiamente, sin dejar transacciones pendientes que puedan causar corrupción. Un apagado limpio es esencial para la salud de las bases de datos.</w:t>
      </w:r>
    </w:p>
    <w:p w:rsidR="002671E9" w:rsidRPr="001065CB" w:rsidRDefault="002671E9" w:rsidP="001065CB">
      <w:pPr>
        <w:pStyle w:val="Prrafodelista"/>
        <w:numPr>
          <w:ilvl w:val="0"/>
          <w:numId w:val="4"/>
        </w:numPr>
      </w:pPr>
      <w:r w:rsidRPr="001065CB">
        <w:rPr>
          <w:b/>
          <w:i/>
        </w:rPr>
        <w:t xml:space="preserve">Consistencia de datos: </w:t>
      </w:r>
      <w:r w:rsidRPr="001065CB">
        <w:t>Garantiza que todos los datos en caché o en memoria se escriban a disco antes de que el servidor se apague.</w:t>
      </w:r>
    </w:p>
    <w:p w:rsidR="002671E9" w:rsidRPr="001065CB" w:rsidRDefault="002671E9" w:rsidP="001065CB">
      <w:pPr>
        <w:pStyle w:val="Prrafodelista"/>
        <w:numPr>
          <w:ilvl w:val="0"/>
          <w:numId w:val="4"/>
        </w:numPr>
      </w:pPr>
      <w:r w:rsidRPr="001065CB">
        <w:rPr>
          <w:b/>
          <w:i/>
        </w:rPr>
        <w:t xml:space="preserve">Preparación para el mantenimiento: </w:t>
      </w:r>
      <w:r w:rsidRPr="001065CB">
        <w:t>Permite realizar tareas de mantenimiento, actualizaciones o cambios de hardware con el menor riesgo para la información de correo.</w:t>
      </w:r>
    </w:p>
    <w:p w:rsidR="00C867A4" w:rsidRDefault="002671E9" w:rsidP="001065CB">
      <w:pPr>
        <w:pStyle w:val="Prrafodelista"/>
        <w:numPr>
          <w:ilvl w:val="0"/>
          <w:numId w:val="4"/>
        </w:numPr>
      </w:pPr>
      <w:r w:rsidRPr="001065CB">
        <w:rPr>
          <w:b/>
          <w:i/>
        </w:rPr>
        <w:t xml:space="preserve">Reducción del tiempo de arranque futuro: </w:t>
      </w:r>
      <w:r w:rsidRPr="001065CB">
        <w:t>Una parada limpia permite un arranque mucho más rápido y sin problemas, ya que no se necesitan extensas comprobaciones de integridad de la base de datos.</w:t>
      </w:r>
    </w:p>
    <w:p w:rsidR="001065CB" w:rsidRPr="00443407" w:rsidRDefault="001065CB" w:rsidP="001065CB">
      <w:pPr>
        <w:rPr>
          <w:b/>
          <w:i/>
        </w:rPr>
      </w:pPr>
      <w:r w:rsidRPr="00443407">
        <w:rPr>
          <w:b/>
          <w:i/>
        </w:rPr>
        <w:t>Rotación de Registros (Log Rotation) en Microsoft Exchange</w:t>
      </w:r>
    </w:p>
    <w:p w:rsidR="001065CB" w:rsidRDefault="001065CB" w:rsidP="001065CB">
      <w:r>
        <w:t xml:space="preserve">En el contexto de Exchange Server, la rotación de registros es un proceso vital para gestionar el espacio en disco y facilitar la resolución de problemas al controlar el tamaño de los diversos archivos de registro que </w:t>
      </w:r>
      <w:r>
        <w:t>Exchange genera constantemente.</w:t>
      </w:r>
    </w:p>
    <w:p w:rsidR="001065CB" w:rsidRPr="00443407" w:rsidRDefault="001065CB" w:rsidP="001065CB">
      <w:pPr>
        <w:rPr>
          <w:i/>
          <w:sz w:val="26"/>
          <w:szCs w:val="26"/>
        </w:rPr>
      </w:pPr>
      <w:r w:rsidRPr="00443407">
        <w:rPr>
          <w:i/>
          <w:sz w:val="26"/>
          <w:szCs w:val="26"/>
        </w:rPr>
        <w:t>¿Qué son las rota</w:t>
      </w:r>
      <w:r w:rsidRPr="00443407">
        <w:rPr>
          <w:i/>
          <w:sz w:val="26"/>
          <w:szCs w:val="26"/>
        </w:rPr>
        <w:t>ciones de registro en Exchange?</w:t>
      </w:r>
    </w:p>
    <w:p w:rsidR="001065CB" w:rsidRDefault="001065CB" w:rsidP="001065CB">
      <w:r>
        <w:t>Exchange Server genera varios</w:t>
      </w:r>
      <w:r>
        <w:t xml:space="preserve"> tipos de archivos de registro:</w:t>
      </w:r>
    </w:p>
    <w:p w:rsidR="001065CB" w:rsidRDefault="001065CB" w:rsidP="00443407">
      <w:pPr>
        <w:pStyle w:val="Prrafodelista"/>
        <w:numPr>
          <w:ilvl w:val="0"/>
          <w:numId w:val="7"/>
        </w:numPr>
      </w:pPr>
      <w:r w:rsidRPr="00443407">
        <w:rPr>
          <w:b/>
          <w:i/>
        </w:rPr>
        <w:t>Registros de transacciones (Transaction logs):</w:t>
      </w:r>
      <w:r>
        <w:t xml:space="preserve"> Son archivos .log que registran cada cambio en las bases de datos de buzones. Son críticos para la recuperación de bases de datos y la funcionalidad de DAGs. Estos registros tienen su propia gestión automática por parte de Exchange, que los "trunca" (elimina los logs ya respaldados) después de una copia de seguridad de la base de datos completa o incremental.</w:t>
      </w:r>
    </w:p>
    <w:p w:rsidR="00443407" w:rsidRDefault="00443407" w:rsidP="00443407">
      <w:pPr>
        <w:pStyle w:val="Prrafodelista"/>
        <w:ind w:left="502"/>
      </w:pPr>
    </w:p>
    <w:p w:rsidR="001065CB" w:rsidRDefault="001065CB" w:rsidP="00443407">
      <w:pPr>
        <w:pStyle w:val="Prrafodelista"/>
        <w:numPr>
          <w:ilvl w:val="0"/>
          <w:numId w:val="7"/>
        </w:numPr>
      </w:pPr>
      <w:r w:rsidRPr="00443407">
        <w:rPr>
          <w:b/>
          <w:i/>
        </w:rPr>
        <w:t>Registros de seguimiento de mensajes (Message tracking logs):</w:t>
      </w:r>
      <w:r>
        <w:t xml:space="preserve"> Registran cada mensaje que pasa a través del servicio de transporte. Son fundamentales para rastrear el flujo de correo.</w:t>
      </w:r>
    </w:p>
    <w:p w:rsidR="00443407" w:rsidRDefault="00443407" w:rsidP="00443407">
      <w:pPr>
        <w:pStyle w:val="Prrafodelista"/>
        <w:ind w:left="502"/>
      </w:pPr>
    </w:p>
    <w:p w:rsidR="001065CB" w:rsidRDefault="001065CB" w:rsidP="00443407">
      <w:pPr>
        <w:pStyle w:val="Prrafodelista"/>
        <w:numPr>
          <w:ilvl w:val="0"/>
          <w:numId w:val="7"/>
        </w:numPr>
      </w:pPr>
      <w:r w:rsidRPr="00443407">
        <w:rPr>
          <w:b/>
          <w:i/>
        </w:rPr>
        <w:t>Registros de conectividad (Connectivity logs):</w:t>
      </w:r>
      <w:r>
        <w:t xml:space="preserve"> Registran la actividad de conexión de los servidores de transporte.</w:t>
      </w:r>
    </w:p>
    <w:p w:rsidR="00443407" w:rsidRDefault="00443407" w:rsidP="00443407">
      <w:pPr>
        <w:pStyle w:val="Prrafodelista"/>
        <w:ind w:left="502"/>
      </w:pPr>
    </w:p>
    <w:p w:rsidR="001065CB" w:rsidRDefault="001065CB" w:rsidP="00443407">
      <w:pPr>
        <w:pStyle w:val="Prrafodelista"/>
        <w:numPr>
          <w:ilvl w:val="0"/>
          <w:numId w:val="7"/>
        </w:numPr>
      </w:pPr>
      <w:r w:rsidRPr="00443407">
        <w:rPr>
          <w:b/>
          <w:i/>
        </w:rPr>
        <w:t>Registros de protocolo (Protocol logs):</w:t>
      </w:r>
      <w:r>
        <w:t xml:space="preserve"> Detallan las comunicaciones SMTP entrantes y salientes.</w:t>
      </w:r>
    </w:p>
    <w:p w:rsidR="00443407" w:rsidRDefault="00443407" w:rsidP="00443407">
      <w:pPr>
        <w:pStyle w:val="Prrafodelista"/>
        <w:ind w:left="502"/>
      </w:pPr>
    </w:p>
    <w:p w:rsidR="001065CB" w:rsidRDefault="001065CB" w:rsidP="00443407">
      <w:pPr>
        <w:pStyle w:val="Prrafodelista"/>
        <w:numPr>
          <w:ilvl w:val="0"/>
          <w:numId w:val="7"/>
        </w:numPr>
      </w:pPr>
      <w:r w:rsidRPr="00443407">
        <w:rPr>
          <w:b/>
          <w:i/>
        </w:rPr>
        <w:t>Registros de registro de auditoría de buzones (Mailbox audit logs):</w:t>
      </w:r>
      <w:r>
        <w:t xml:space="preserve"> Registran acciones realizadas en buzones por usuarios que no son propietarios (delegados, administradores).</w:t>
      </w:r>
    </w:p>
    <w:p w:rsidR="00443407" w:rsidRDefault="00443407" w:rsidP="00443407">
      <w:pPr>
        <w:pStyle w:val="Prrafodelista"/>
        <w:ind w:left="502"/>
      </w:pPr>
    </w:p>
    <w:p w:rsidR="001065CB" w:rsidRDefault="001065CB" w:rsidP="00443407">
      <w:pPr>
        <w:pStyle w:val="Prrafodelista"/>
        <w:numPr>
          <w:ilvl w:val="0"/>
          <w:numId w:val="7"/>
        </w:numPr>
      </w:pPr>
      <w:r w:rsidRPr="00443407">
        <w:rPr>
          <w:b/>
          <w:i/>
        </w:rPr>
        <w:t>Registros de diagnóstico y rendimiento:</w:t>
      </w:r>
      <w:r>
        <w:t xml:space="preserve"> Otros registros generados por servicios específicos de Exchange.</w:t>
      </w:r>
    </w:p>
    <w:p w:rsidR="001065CB" w:rsidRPr="00443407" w:rsidRDefault="001065CB" w:rsidP="001065CB">
      <w:pPr>
        <w:rPr>
          <w:i/>
        </w:rPr>
      </w:pPr>
      <w:r w:rsidRPr="00443407">
        <w:rPr>
          <w:i/>
        </w:rPr>
        <w:t>La rotación de registros para estos archivos (excepto los de transacciones de base de datos, que tienen su propio mecanismo de truncamiento por copia de seguridad) es el proceso de archivar, comprimir o eliminar los archivos de registro antiguos una vez que han alcanzado un cierto tamaño o edad, y luego crear un nuevo arc</w:t>
      </w:r>
      <w:r w:rsidRPr="00443407">
        <w:rPr>
          <w:i/>
        </w:rPr>
        <w:t>hivo para el registro continuo.</w:t>
      </w:r>
    </w:p>
    <w:p w:rsidR="001065CB" w:rsidRPr="00443407" w:rsidRDefault="001065CB" w:rsidP="001065CB">
      <w:pPr>
        <w:rPr>
          <w:b/>
          <w:i/>
        </w:rPr>
      </w:pPr>
      <w:r w:rsidRPr="00443407">
        <w:rPr>
          <w:b/>
          <w:i/>
        </w:rPr>
        <w:t>¿Para qué sirven las rotaciones de registro en E</w:t>
      </w:r>
      <w:r w:rsidRPr="00443407">
        <w:rPr>
          <w:b/>
          <w:i/>
        </w:rPr>
        <w:t>xchange? ¿Qué nos proporcionan?</w:t>
      </w:r>
    </w:p>
    <w:p w:rsidR="001065CB" w:rsidRDefault="001065CB" w:rsidP="00443407">
      <w:pPr>
        <w:pStyle w:val="Prrafodelista"/>
        <w:numPr>
          <w:ilvl w:val="0"/>
          <w:numId w:val="8"/>
        </w:numPr>
      </w:pPr>
      <w:r w:rsidRPr="00443407">
        <w:rPr>
          <w:b/>
          <w:i/>
        </w:rPr>
        <w:t>Prevención del agotamiento del espacio en disco:</w:t>
      </w:r>
      <w:r>
        <w:t xml:space="preserve"> Evita que los numerosos y a menudo grandes archivos de registro de Exchange consuman todo el espacio de almacenamiento del servidor, lo que detendría el servicio de correo.</w:t>
      </w:r>
    </w:p>
    <w:p w:rsidR="001065CB" w:rsidRDefault="001065CB" w:rsidP="00443407">
      <w:pPr>
        <w:pStyle w:val="Prrafodelista"/>
        <w:numPr>
          <w:ilvl w:val="0"/>
          <w:numId w:val="8"/>
        </w:numPr>
      </w:pPr>
      <w:r w:rsidRPr="00443407">
        <w:rPr>
          <w:b/>
          <w:i/>
        </w:rPr>
        <w:t>Optimización del rendimiento del disco:</w:t>
      </w:r>
      <w:r>
        <w:t xml:space="preserve"> Los archivos de registro gigantes pueden afectar negativamente el rendimiento de E/S del disco.</w:t>
      </w:r>
    </w:p>
    <w:p w:rsidR="001065CB" w:rsidRDefault="001065CB" w:rsidP="00443407">
      <w:pPr>
        <w:pStyle w:val="Prrafodelista"/>
        <w:numPr>
          <w:ilvl w:val="0"/>
          <w:numId w:val="8"/>
        </w:numPr>
      </w:pPr>
      <w:r w:rsidRPr="00443407">
        <w:rPr>
          <w:b/>
          <w:i/>
        </w:rPr>
        <w:t>Facilitar la resolución de problemas y la auditoría:</w:t>
      </w:r>
      <w:r>
        <w:t xml:space="preserve"> Los archivos de registro más pequeños son más fáciles de abrir, leer y analizar con herramientas como el visor de registros o scripts. Esto es crucial para diagnosticar problemas de flujo de correo, identificar spam, rastrear mensajes específicos o auditar actividades.</w:t>
      </w:r>
    </w:p>
    <w:p w:rsidR="001065CB" w:rsidRDefault="001065CB" w:rsidP="00443407">
      <w:pPr>
        <w:pStyle w:val="Prrafodelista"/>
        <w:numPr>
          <w:ilvl w:val="0"/>
          <w:numId w:val="8"/>
        </w:numPr>
      </w:pPr>
      <w:r w:rsidRPr="00443407">
        <w:rPr>
          <w:b/>
          <w:i/>
        </w:rPr>
        <w:t>Cumplimiento de políticas de retención:</w:t>
      </w:r>
      <w:r>
        <w:t xml:space="preserve"> Permite retener registros históricos durante un período determinado, lo cual es a menudo un requisito de cumplimiento y seguridad.</w:t>
      </w:r>
    </w:p>
    <w:p w:rsidR="00443407" w:rsidRPr="00443407" w:rsidRDefault="00443407" w:rsidP="00443407">
      <w:pPr>
        <w:rPr>
          <w:b/>
          <w:i/>
        </w:rPr>
      </w:pPr>
      <w:r w:rsidRPr="00443407">
        <w:rPr>
          <w:b/>
          <w:i/>
        </w:rPr>
        <w:t>¿Qué opciones de configuración permiten las rota</w:t>
      </w:r>
      <w:r w:rsidRPr="00443407">
        <w:rPr>
          <w:b/>
          <w:i/>
        </w:rPr>
        <w:t>ciones de registro en Exchange?</w:t>
      </w:r>
    </w:p>
    <w:p w:rsidR="00443407" w:rsidRDefault="00443407" w:rsidP="00443407">
      <w:r w:rsidRPr="00F11E71">
        <w:rPr>
          <w:b/>
          <w:i/>
        </w:rPr>
        <w:t>Exchange Server</w:t>
      </w:r>
      <w:r>
        <w:t xml:space="preserve"> ofrece opciones de configuración para la rotación de la mayoría de sus tipos de registros a través del </w:t>
      </w:r>
      <w:r w:rsidRPr="00F11E71">
        <w:rPr>
          <w:b/>
          <w:i/>
        </w:rPr>
        <w:t>Centro de administración de Exchange (EAC)</w:t>
      </w:r>
      <w:r>
        <w:t xml:space="preserve"> o, más comúnmente, a través de </w:t>
      </w:r>
      <w:r w:rsidRPr="00F11E71">
        <w:rPr>
          <w:b/>
          <w:i/>
        </w:rPr>
        <w:t>Exchange Manag</w:t>
      </w:r>
      <w:r w:rsidRPr="00F11E71">
        <w:rPr>
          <w:b/>
          <w:i/>
        </w:rPr>
        <w:t>ement Shell (EMS) (PowerShell).</w:t>
      </w:r>
      <w:r>
        <w:t xml:space="preserve"> </w:t>
      </w:r>
      <w:r>
        <w:t xml:space="preserve">Las opciones de configuración típicas que puedes ajustar para los </w:t>
      </w:r>
      <w:r>
        <w:t>registros de Exchange incluyen:</w:t>
      </w:r>
    </w:p>
    <w:p w:rsidR="00443407" w:rsidRPr="00F11E71" w:rsidRDefault="00443407" w:rsidP="00F11E71">
      <w:pPr>
        <w:pStyle w:val="Prrafodelista"/>
        <w:numPr>
          <w:ilvl w:val="0"/>
          <w:numId w:val="9"/>
        </w:numPr>
        <w:rPr>
          <w:i/>
        </w:rPr>
      </w:pPr>
      <w:r w:rsidRPr="00F11E71">
        <w:rPr>
          <w:b/>
          <w:i/>
        </w:rPr>
        <w:t>Tamaño máximo de archivo de registro (MaxLogFileSize):</w:t>
      </w:r>
      <w:r w:rsidRPr="00F11E71">
        <w:rPr>
          <w:i/>
        </w:rPr>
        <w:t xml:space="preserve"> Define el tamaño máximo (en bytes o MB) que puede alcanzar un archivo de registro antes de que se cree uno nuevo.</w:t>
      </w:r>
    </w:p>
    <w:p w:rsidR="00443407" w:rsidRPr="00F11E71" w:rsidRDefault="00443407" w:rsidP="00F11E71">
      <w:pPr>
        <w:pStyle w:val="Prrafodelista"/>
        <w:numPr>
          <w:ilvl w:val="0"/>
          <w:numId w:val="9"/>
        </w:numPr>
        <w:rPr>
          <w:i/>
        </w:rPr>
      </w:pPr>
      <w:r w:rsidRPr="00F11E71">
        <w:rPr>
          <w:b/>
        </w:rPr>
        <w:t xml:space="preserve">Antigüedad máxima del archivo de registro (MaxLogAge): </w:t>
      </w:r>
      <w:r w:rsidRPr="00F11E71">
        <w:rPr>
          <w:i/>
        </w:rPr>
        <w:t>Establece el número de días que se debe conservar un archivo de registro antes de ser eliminado automáticamente.</w:t>
      </w:r>
    </w:p>
    <w:p w:rsidR="00443407" w:rsidRDefault="00443407" w:rsidP="00F11E71">
      <w:pPr>
        <w:pStyle w:val="Prrafodelista"/>
        <w:numPr>
          <w:ilvl w:val="0"/>
          <w:numId w:val="9"/>
        </w:numPr>
        <w:rPr>
          <w:i/>
        </w:rPr>
      </w:pPr>
      <w:r w:rsidRPr="00F11E71">
        <w:rPr>
          <w:b/>
        </w:rPr>
        <w:t xml:space="preserve">Ruta de los registros (LogPath): </w:t>
      </w:r>
      <w:r w:rsidRPr="00F11E71">
        <w:rPr>
          <w:i/>
        </w:rPr>
        <w:t>Permite especificar dónde se almacenan los archivos de registro. Es común mover los registros a un volumen de disco separado del volumen de las bases de datos para evitar que se agote el espacio en el disco principal.</w:t>
      </w:r>
    </w:p>
    <w:p w:rsidR="00F11E71" w:rsidRDefault="00F11E71" w:rsidP="00F11E71"/>
    <w:p w:rsidR="006B2A2C" w:rsidRPr="006B2A2C" w:rsidRDefault="006B2A2C" w:rsidP="006B2A2C">
      <w:pPr>
        <w:pStyle w:val="Ttulo1"/>
        <w:jc w:val="left"/>
        <w:rPr>
          <w:sz w:val="44"/>
        </w:rPr>
      </w:pPr>
      <w:bookmarkStart w:id="2" w:name="_Toc198635896"/>
      <w:r w:rsidRPr="006B2A2C">
        <w:rPr>
          <w:sz w:val="44"/>
        </w:rPr>
        <w:t>Pregunta 2</w:t>
      </w:r>
      <w:bookmarkEnd w:id="2"/>
      <w:r w:rsidRPr="006B2A2C">
        <w:rPr>
          <w:sz w:val="44"/>
        </w:rPr>
        <w:t xml:space="preserve"> </w:t>
      </w:r>
    </w:p>
    <w:p w:rsidR="006B2A2C" w:rsidRDefault="006B2A2C" w:rsidP="006B2A2C">
      <w:pPr>
        <w:rPr>
          <w:b/>
          <w:i/>
        </w:rPr>
      </w:pPr>
      <w:r w:rsidRPr="006B2A2C">
        <w:rPr>
          <w:b/>
          <w:i/>
        </w:rPr>
        <w:t>Realiza una breve descripción de la rotación de registros.</w:t>
      </w:r>
    </w:p>
    <w:p w:rsidR="00F11E71" w:rsidRDefault="00F11E71" w:rsidP="00F11E71">
      <w:r w:rsidRPr="00F11E71">
        <w:rPr>
          <w:b/>
          <w:i/>
        </w:rPr>
        <w:t>La rotación de registros (log rotation)</w:t>
      </w:r>
      <w:r>
        <w:t xml:space="preserve"> es un proceso automatizado y esencial en la administración de sistemas, particularmente crítica en servidores como Microsoft Exchange. Su finalidad es gestionar el volumen y el tamaño de los archivos de registro que tanto el sistema operativo como las aplicaciones</w:t>
      </w:r>
      <w:r>
        <w:t xml:space="preserve"> generan continuamente.</w:t>
      </w:r>
    </w:p>
    <w:p w:rsidR="00F11E71" w:rsidRDefault="00F11E71" w:rsidP="00F11E71">
      <w:r>
        <w:t>En lugar de permitir que un único archivo de registro crezca de forma ilimitada, lo que podría llevar rápidamente al agotamiento del espacio en disco, dificultar enormemente la lectura y el análisis de la información, y potencialmente afectar el rendimiento del servidor, la rotación de registro</w:t>
      </w:r>
      <w:r>
        <w:t>s opera de la siguiente manera:</w:t>
      </w:r>
    </w:p>
    <w:p w:rsidR="00F11E71" w:rsidRDefault="00F11E71" w:rsidP="00F11E71">
      <w:pPr>
        <w:pStyle w:val="Prrafodelista"/>
        <w:numPr>
          <w:ilvl w:val="0"/>
          <w:numId w:val="10"/>
        </w:numPr>
      </w:pPr>
      <w:r w:rsidRPr="00F11E71">
        <w:rPr>
          <w:b/>
          <w:i/>
        </w:rPr>
        <w:t>Archivado o Renombrado:</w:t>
      </w:r>
      <w:r>
        <w:t xml:space="preserve"> Cuando un archivo de registro alcanza un tamaño predefinido o ha transcurrido un período de tiempo especificado (por ejemplo, al final del día), el archivo de registro actual se renombra o se mueve. A menudo se le añade un sufijo que indica la </w:t>
      </w:r>
      <w:r>
        <w:t>fecha o un número de secuencia.</w:t>
      </w:r>
    </w:p>
    <w:p w:rsidR="00F11E71" w:rsidRDefault="00F11E71" w:rsidP="00F11E71">
      <w:pPr>
        <w:pStyle w:val="Prrafodelista"/>
        <w:numPr>
          <w:ilvl w:val="0"/>
          <w:numId w:val="10"/>
        </w:numPr>
      </w:pPr>
      <w:r w:rsidRPr="00F11E71">
        <w:rPr>
          <w:b/>
          <w:i/>
        </w:rPr>
        <w:t>Creación de un Nuevo Archivo:</w:t>
      </w:r>
      <w:r>
        <w:t xml:space="preserve"> Inmediatamente después del paso anterior, se crea un nuevo archivo de registro vacío con el nombre original (ej. messagetracking.log). El servicio o la aplicación (en este caso, Exchange) comienza a escribir sus nuevos eventos en este archivo recién creado.</w:t>
      </w:r>
    </w:p>
    <w:p w:rsidR="00F11E71" w:rsidRDefault="00F11E71" w:rsidP="00F11E71">
      <w:pPr>
        <w:pStyle w:val="Prrafodelista"/>
        <w:numPr>
          <w:ilvl w:val="0"/>
          <w:numId w:val="10"/>
        </w:numPr>
      </w:pPr>
      <w:r w:rsidRPr="00F11E71">
        <w:rPr>
          <w:b/>
          <w:i/>
        </w:rPr>
        <w:t>Compresión (Opcional):</w:t>
      </w:r>
      <w:r>
        <w:t xml:space="preserve"> Los archivos de registro archivados más antiguos pueden ser comprimidos (utilizando algoritmos como ZIP o GZIP) para reducir aún más el espacio que ocupan en el disco.</w:t>
      </w:r>
    </w:p>
    <w:p w:rsidR="00F11E71" w:rsidRDefault="00F11E71" w:rsidP="00F11E71">
      <w:pPr>
        <w:pStyle w:val="Prrafodelista"/>
        <w:numPr>
          <w:ilvl w:val="0"/>
          <w:numId w:val="10"/>
        </w:numPr>
      </w:pPr>
      <w:r w:rsidRPr="00F11E71">
        <w:rPr>
          <w:b/>
          <w:i/>
        </w:rPr>
        <w:t>Eliminación Controlada:</w:t>
      </w:r>
      <w:r>
        <w:t xml:space="preserve"> Los archivos de registro que superan un límite establecido en cuanto a número de copias retenidas o antigüedad (por ejemplo, conservar solo los registros de los últimos 7 días o las últimas 10 rotaciones) son eliminados automáticamente para liberar espacio.</w:t>
      </w:r>
    </w:p>
    <w:p w:rsidR="00F90CCB" w:rsidRDefault="00F11E71" w:rsidP="00F11E71">
      <w:pPr>
        <w:rPr>
          <w:i/>
        </w:rPr>
      </w:pPr>
      <w:r w:rsidRPr="00F90CCB">
        <w:rPr>
          <w:i/>
        </w:rPr>
        <w:t xml:space="preserve">En el contexto de </w:t>
      </w:r>
      <w:r w:rsidRPr="00F90CCB">
        <w:rPr>
          <w:b/>
          <w:i/>
        </w:rPr>
        <w:t>Exchange Server,</w:t>
      </w:r>
      <w:r w:rsidRPr="00F90CCB">
        <w:rPr>
          <w:i/>
        </w:rPr>
        <w:t xml:space="preserve"> la rotación de registros es vital para componentes como los registros de seguimiento de mensajes, los registros de conectividad y los registros de protocolo SMTP. </w:t>
      </w:r>
    </w:p>
    <w:p w:rsidR="00F90CCB" w:rsidRDefault="00F11E71" w:rsidP="00F11E71">
      <w:pPr>
        <w:rPr>
          <w:i/>
        </w:rPr>
      </w:pPr>
      <w:r w:rsidRPr="00F90CCB">
        <w:rPr>
          <w:i/>
        </w:rPr>
        <w:t>Sin una gestión adecuada, estos archivos podrían crecer hasta saturar los discos, deteniendo el flujo de correo.</w:t>
      </w:r>
    </w:p>
    <w:p w:rsidR="00F11E71" w:rsidRPr="00F90CCB" w:rsidRDefault="00F11E71" w:rsidP="00F11E71">
      <w:pPr>
        <w:rPr>
          <w:i/>
        </w:rPr>
      </w:pPr>
      <w:r w:rsidRPr="00F90CCB">
        <w:rPr>
          <w:i/>
        </w:rPr>
        <w:t xml:space="preserve"> A través del Centro de administración de Exchange (EAC) o PowerShell, los administradores pueden configurar parámetros como el tamaño máximo de los archivos, la edad máxima para su retención y la ruta de almacenamiento, asegurando así un equilibrio entre la disponibilidad de información para auditoría y diagnóstico, y la gestión eficiente del almacenamiento.</w:t>
      </w:r>
    </w:p>
    <w:p w:rsidR="006B2A2C" w:rsidRPr="006B2A2C" w:rsidRDefault="006B2A2C" w:rsidP="006B2A2C"/>
    <w:sectPr w:rsidR="006B2A2C" w:rsidRPr="006B2A2C" w:rsidSect="006B2A2C">
      <w:headerReference w:type="default" r:id="rId11"/>
      <w:footerReference w:type="default" r:id="rId12"/>
      <w:pgSz w:w="11906" w:h="16838" w:code="9"/>
      <w:pgMar w:top="1418" w:right="1701" w:bottom="1418" w:left="1701" w:header="680" w:footer="68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2618" w:rsidRDefault="00292618" w:rsidP="00604736">
      <w:pPr>
        <w:spacing w:before="0" w:after="0"/>
      </w:pPr>
      <w:r>
        <w:separator/>
      </w:r>
    </w:p>
  </w:endnote>
  <w:endnote w:type="continuationSeparator" w:id="0">
    <w:p w:rsidR="00292618" w:rsidRDefault="00292618" w:rsidP="00604736">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2AC4" w:rsidRDefault="00E203CA">
    <w:pPr>
      <w:pStyle w:val="Piedepgina"/>
    </w:pPr>
    <w:r>
      <w:fldChar w:fldCharType="begin"/>
    </w:r>
    <w:r>
      <w:instrText>PAGE   \* MERGEFORMAT</w:instrText>
    </w:r>
    <w:r>
      <w:fldChar w:fldCharType="separate"/>
    </w:r>
    <w:r w:rsidR="00410E82">
      <w:rPr>
        <w:noProof/>
      </w:rPr>
      <w:t>3</w:t>
    </w:r>
    <w:r>
      <w:fldChar w:fldCharType="end"/>
    </w:r>
    <w:r w:rsidR="00EA2AC4">
      <w:rPr>
        <w:noProof/>
        <w:lang w:eastAsia="es-ES"/>
      </w:rPr>
      <mc:AlternateContent>
        <mc:Choice Requires="wpg">
          <w:drawing>
            <wp:anchor distT="0" distB="0" distL="114300" distR="114300" simplePos="0" relativeHeight="251662336" behindDoc="0" locked="0" layoutInCell="1" allowOverlap="1">
              <wp:simplePos x="0" y="0"/>
              <wp:positionH relativeFrom="page">
                <wp:align>left</wp:align>
              </wp:positionH>
              <wp:positionV relativeFrom="bottomMargin">
                <wp:posOffset>104775</wp:posOffset>
              </wp:positionV>
              <wp:extent cx="7362825" cy="628650"/>
              <wp:effectExtent l="0" t="0" r="0" b="0"/>
              <wp:wrapNone/>
              <wp:docPr id="155" name="Grupo 155"/>
              <wp:cNvGraphicFramePr/>
              <a:graphic xmlns:a="http://schemas.openxmlformats.org/drawingml/2006/main">
                <a:graphicData uri="http://schemas.microsoft.com/office/word/2010/wordprocessingGroup">
                  <wpg:wgp>
                    <wpg:cNvGrpSpPr/>
                    <wpg:grpSpPr>
                      <a:xfrm>
                        <a:off x="0" y="0"/>
                        <a:ext cx="7362825" cy="628650"/>
                        <a:chOff x="0" y="0"/>
                        <a:chExt cx="5943600" cy="274320"/>
                      </a:xfrm>
                    </wpg:grpSpPr>
                    <wps:wsp>
                      <wps:cNvPr id="156" name="Rectángulo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Cuadro de texto 157"/>
                      <wps:cNvSpPr txBox="1"/>
                      <wps:spPr>
                        <a:xfrm>
                          <a:off x="228600" y="0"/>
                          <a:ext cx="5353050" cy="2743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EA2AC4" w:rsidRPr="00EA2AC4" w:rsidRDefault="00292618"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E203CA">
                                  <w:rPr>
                                    <w:rFonts w:ascii="Times New Roman" w:hAnsi="Times New Roman" w:cs="Times New Roman"/>
                                    <w:b/>
                                    <w:i/>
                                    <w:sz w:val="28"/>
                                    <w:szCs w:val="28"/>
                                  </w:rPr>
                                  <w:t>Francisco J.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o 155" o:spid="_x0000_s1028" style="position:absolute;left:0;text-align:left;margin-left:0;margin-top:8.25pt;width:579.75pt;height:49.5pt;z-index:251662336;mso-position-horizontal:left;mso-position-horizontal-relative:page;mso-position-vertical-relative:bottom-margin-area;mso-width-relative:margin;mso-height-relative:margin" coordsize="59436,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">
              <v:rect id="Rectángulo 156" o:spid="_x0000_s1029"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Cuadro de texto 157" o:spid="_x0000_s1030" type="#_x0000_t202" style="position:absolute;left:2286;width:53530;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" filled="f" stroked="f" strokeweight=".5pt">
                <v:textbox inset="0,,0">
                  <w:txbxContent>
                    <w:p w:rsidR="00EA2AC4" w:rsidRPr="00EA2AC4" w:rsidRDefault="00292618" w:rsidP="00EA2AC4">
                      <w:pPr>
                        <w:pStyle w:val="Piedepgina"/>
                        <w:jc w:val="right"/>
                        <w:rPr>
                          <w:rFonts w:ascii="Times New Roman" w:hAnsi="Times New Roman" w:cs="Times New Roman"/>
                          <w:b/>
                          <w:i/>
                          <w:caps/>
                          <w:sz w:val="28"/>
                          <w:szCs w:val="28"/>
                        </w:rPr>
                      </w:pPr>
                      <w:sdt>
                        <w:sdtPr>
                          <w:rPr>
                            <w:rFonts w:ascii="Times New Roman" w:hAnsi="Times New Roman" w:cs="Times New Roman"/>
                            <w:b/>
                            <w:i/>
                            <w:sz w:val="28"/>
                            <w:szCs w:val="28"/>
                          </w:rPr>
                          <w:alias w:val="Autor"/>
                          <w:tag w:val=""/>
                          <w:id w:val="-959653791"/>
                          <w:dataBinding w:prefixMappings="xmlns:ns0='http://purl.org/dc/elements/1.1/' xmlns:ns1='http://schemas.openxmlformats.org/package/2006/metadata/core-properties' " w:xpath="/ns1:coreProperties[1]/ns0:creator[1]" w:storeItemID="{6C3C8BC8-F283-45AE-878A-BAB7291924A1}"/>
                          <w:text/>
                        </w:sdtPr>
                        <w:sdtEndPr/>
                        <w:sdtContent>
                          <w:r w:rsidR="00E203CA">
                            <w:rPr>
                              <w:rFonts w:ascii="Times New Roman" w:hAnsi="Times New Roman" w:cs="Times New Roman"/>
                              <w:b/>
                              <w:i/>
                              <w:sz w:val="28"/>
                              <w:szCs w:val="28"/>
                            </w:rPr>
                            <w:t>Francisco J. Otero Herrero</w:t>
                          </w:r>
                        </w:sdtContent>
                      </w:sdt>
                      <w:r w:rsidR="00EA2AC4" w:rsidRPr="00EA2AC4">
                        <w:rPr>
                          <w:rFonts w:ascii="Times New Roman" w:hAnsi="Times New Roman" w:cs="Times New Roman"/>
                          <w:b/>
                          <w:i/>
                          <w:caps/>
                          <w:sz w:val="28"/>
                          <w:szCs w:val="28"/>
                        </w:rPr>
                        <w:t> | </w:t>
                      </w:r>
                      <w:sdt>
                        <w:sdtPr>
                          <w:rPr>
                            <w:rFonts w:ascii="Times New Roman" w:hAnsi="Times New Roman" w:cs="Times New Roman"/>
                            <w:b/>
                            <w:i/>
                            <w:caps/>
                            <w:sz w:val="28"/>
                            <w:szCs w:val="28"/>
                          </w:rPr>
                          <w:alias w:val="Escolar"/>
                          <w:tag w:val="Escolar"/>
                          <w:id w:val="1660265181"/>
                          <w:dataBinding w:prefixMappings="xmlns:ns0='http://schemas.openxmlformats.org/officeDocument/2006/extended-properties' " w:xpath="/ns0:Properties[1]/ns0:Company[1]" w:storeItemID="{6668398D-A668-4E3E-A5EB-62B293D839F1}"/>
                          <w:text/>
                        </w:sdtPr>
                        <w:sdtEndPr/>
                        <w:sdtContent>
                          <w:r w:rsidR="00EA2AC4" w:rsidRPr="00EA2AC4">
                            <w:rPr>
                              <w:rFonts w:ascii="Times New Roman" w:hAnsi="Times New Roman" w:cs="Times New Roman"/>
                              <w:b/>
                              <w:i/>
                              <w:caps/>
                              <w:sz w:val="28"/>
                              <w:szCs w:val="28"/>
                            </w:rPr>
                            <w:t>Grupo atu</w:t>
                          </w:r>
                        </w:sdtContent>
                      </w:sdt>
                    </w:p>
                  </w:txbxContent>
                </v:textbox>
              </v:shape>
              <w10:wrap anchorx="page" anchory="margin"/>
            </v:group>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2618" w:rsidRDefault="00292618" w:rsidP="00604736">
      <w:pPr>
        <w:spacing w:before="0" w:after="0"/>
      </w:pPr>
      <w:r>
        <w:separator/>
      </w:r>
    </w:p>
  </w:footnote>
  <w:footnote w:type="continuationSeparator" w:id="0">
    <w:p w:rsidR="00292618" w:rsidRDefault="00292618" w:rsidP="00604736">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04736" w:rsidRDefault="00604736">
    <w:pPr>
      <w:pStyle w:val="Encabezado"/>
    </w:pPr>
    <w:r>
      <w:rPr>
        <w:noProof/>
        <w:lang w:eastAsia="es-ES"/>
      </w:rPr>
      <mc:AlternateContent>
        <mc:Choice Requires="wps">
          <w:drawing>
            <wp:anchor distT="0" distB="0" distL="114300" distR="114300" simplePos="0" relativeHeight="251660288" behindDoc="0" locked="0" layoutInCell="0" allowOverlap="1">
              <wp:simplePos x="0" y="0"/>
              <wp:positionH relativeFrom="margin">
                <wp:align>right</wp:align>
              </wp:positionH>
              <wp:positionV relativeFrom="topMargin">
                <wp:posOffset>190500</wp:posOffset>
              </wp:positionV>
              <wp:extent cx="5400675" cy="619125"/>
              <wp:effectExtent l="0" t="0" r="0" b="9525"/>
              <wp:wrapNone/>
              <wp:docPr id="218" name="Cuadro de texto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00675" cy="619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Times New Roman" w:hAnsi="Times New Roman" w:cs="Times New Roman"/>
                              <w:b/>
                              <w:i/>
                              <w:sz w:val="36"/>
                              <w:szCs w:val="44"/>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rPr>
                          </w:sdtEndPr>
                          <w:sdtContent>
                            <w:p w:rsidR="00604736" w:rsidRPr="006B2A2C" w:rsidRDefault="006B2A2C" w:rsidP="00EA2AC4">
                              <w:pPr>
                                <w:spacing w:after="0"/>
                                <w:jc w:val="center"/>
                                <w:rPr>
                                  <w:sz w:val="20"/>
                                </w:rPr>
                              </w:pPr>
                              <w:r>
                                <w:rPr>
                                  <w:rFonts w:ascii="Times New Roman" w:hAnsi="Times New Roman" w:cs="Times New Roman"/>
                                  <w:b/>
                                  <w:i/>
                                  <w:sz w:val="36"/>
                                  <w:szCs w:val="44"/>
                                </w:rPr>
                                <w:t>PROCESO DE ARRANQUE Y PARADA. LOGS</w:t>
                              </w:r>
                            </w:p>
                          </w:sdtContent>
                        </w:sdt>
                      </w:txbxContent>
                    </wps:txbx>
                    <wps:bodyPr rot="0" vert="horz" wrap="square" lIns="91440" tIns="0" rIns="91440" bIns="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18" o:spid="_x0000_s1027" type="#_x0000_t202" style="position:absolute;left:0;text-align:left;margin-left:374.05pt;margin-top:15pt;width:425.25pt;height:48.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" o:allowincell="f" filled="f" stroked="f">
              <v:textbox inset=",0,,0">
                <w:txbxContent>
                  <w:sdt>
                    <w:sdtPr>
                      <w:rPr>
                        <w:rFonts w:ascii="Times New Roman" w:hAnsi="Times New Roman" w:cs="Times New Roman"/>
                        <w:b/>
                        <w:i/>
                        <w:sz w:val="36"/>
                        <w:szCs w:val="44"/>
                      </w:rPr>
                      <w:alias w:val="Título"/>
                      <w:id w:val="78679243"/>
                      <w:dataBinding w:prefixMappings="xmlns:ns0='http://schemas.openxmlformats.org/package/2006/metadata/core-properties' xmlns:ns1='http://purl.org/dc/elements/1.1/'" w:xpath="/ns0:coreProperties[1]/ns1:title[1]" w:storeItemID="{6C3C8BC8-F283-45AE-878A-BAB7291924A1}"/>
                      <w:text/>
                    </w:sdtPr>
                    <w:sdtEndPr>
                      <w:rPr>
                        <w:rFonts w:asciiTheme="minorHAnsi" w:hAnsiTheme="minorHAnsi" w:cstheme="minorBidi"/>
                        <w:b w:val="0"/>
                        <w:i w:val="0"/>
                        <w:szCs w:val="22"/>
                      </w:rPr>
                    </w:sdtEndPr>
                    <w:sdtContent>
                      <w:p w:rsidR="00604736" w:rsidRPr="006B2A2C" w:rsidRDefault="006B2A2C" w:rsidP="00EA2AC4">
                        <w:pPr>
                          <w:spacing w:after="0"/>
                          <w:jc w:val="center"/>
                          <w:rPr>
                            <w:sz w:val="20"/>
                          </w:rPr>
                        </w:pPr>
                        <w:r>
                          <w:rPr>
                            <w:rFonts w:ascii="Times New Roman" w:hAnsi="Times New Roman" w:cs="Times New Roman"/>
                            <w:b/>
                            <w:i/>
                            <w:sz w:val="36"/>
                            <w:szCs w:val="44"/>
                          </w:rPr>
                          <w:t>PROCESO DE ARRANQUE Y PARADA. LOGS</w:t>
                        </w:r>
                      </w:p>
                    </w:sdtContent>
                  </w:sdt>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D1ADD"/>
    <w:multiLevelType w:val="hybridMultilevel"/>
    <w:tmpl w:val="6F70A94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950067"/>
    <w:multiLevelType w:val="hybridMultilevel"/>
    <w:tmpl w:val="34922C16"/>
    <w:lvl w:ilvl="0" w:tplc="0C0A000B">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2" w15:restartNumberingAfterBreak="0">
    <w:nsid w:val="25945576"/>
    <w:multiLevelType w:val="hybridMultilevel"/>
    <w:tmpl w:val="CCB610A6"/>
    <w:lvl w:ilvl="0" w:tplc="0C0A0001">
      <w:start w:val="1"/>
      <w:numFmt w:val="bullet"/>
      <w:lvlText w:val=""/>
      <w:lvlJc w:val="left"/>
      <w:pPr>
        <w:ind w:left="502" w:hanging="360"/>
      </w:pPr>
      <w:rPr>
        <w:rFonts w:ascii="Symbol" w:hAnsi="Symbol"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3" w15:restartNumberingAfterBreak="0">
    <w:nsid w:val="33F331A9"/>
    <w:multiLevelType w:val="hybridMultilevel"/>
    <w:tmpl w:val="DE027BC0"/>
    <w:lvl w:ilvl="0" w:tplc="0C0A000B">
      <w:start w:val="1"/>
      <w:numFmt w:val="bullet"/>
      <w:lvlText w:val=""/>
      <w:lvlJc w:val="left"/>
      <w:pPr>
        <w:ind w:left="502" w:hanging="360"/>
      </w:pPr>
      <w:rPr>
        <w:rFonts w:ascii="Wingdings" w:hAnsi="Wingdings" w:hint="default"/>
      </w:rPr>
    </w:lvl>
    <w:lvl w:ilvl="1" w:tplc="0C0A0003" w:tentative="1">
      <w:start w:val="1"/>
      <w:numFmt w:val="bullet"/>
      <w:lvlText w:val="o"/>
      <w:lvlJc w:val="left"/>
      <w:pPr>
        <w:ind w:left="1222" w:hanging="360"/>
      </w:pPr>
      <w:rPr>
        <w:rFonts w:ascii="Courier New" w:hAnsi="Courier New" w:cs="Courier New" w:hint="default"/>
      </w:rPr>
    </w:lvl>
    <w:lvl w:ilvl="2" w:tplc="0C0A0005" w:tentative="1">
      <w:start w:val="1"/>
      <w:numFmt w:val="bullet"/>
      <w:lvlText w:val=""/>
      <w:lvlJc w:val="left"/>
      <w:pPr>
        <w:ind w:left="1942" w:hanging="360"/>
      </w:pPr>
      <w:rPr>
        <w:rFonts w:ascii="Wingdings" w:hAnsi="Wingdings" w:hint="default"/>
      </w:rPr>
    </w:lvl>
    <w:lvl w:ilvl="3" w:tplc="0C0A0001" w:tentative="1">
      <w:start w:val="1"/>
      <w:numFmt w:val="bullet"/>
      <w:lvlText w:val=""/>
      <w:lvlJc w:val="left"/>
      <w:pPr>
        <w:ind w:left="2662" w:hanging="360"/>
      </w:pPr>
      <w:rPr>
        <w:rFonts w:ascii="Symbol" w:hAnsi="Symbol" w:hint="default"/>
      </w:rPr>
    </w:lvl>
    <w:lvl w:ilvl="4" w:tplc="0C0A0003" w:tentative="1">
      <w:start w:val="1"/>
      <w:numFmt w:val="bullet"/>
      <w:lvlText w:val="o"/>
      <w:lvlJc w:val="left"/>
      <w:pPr>
        <w:ind w:left="3382" w:hanging="360"/>
      </w:pPr>
      <w:rPr>
        <w:rFonts w:ascii="Courier New" w:hAnsi="Courier New" w:cs="Courier New" w:hint="default"/>
      </w:rPr>
    </w:lvl>
    <w:lvl w:ilvl="5" w:tplc="0C0A0005" w:tentative="1">
      <w:start w:val="1"/>
      <w:numFmt w:val="bullet"/>
      <w:lvlText w:val=""/>
      <w:lvlJc w:val="left"/>
      <w:pPr>
        <w:ind w:left="4102" w:hanging="360"/>
      </w:pPr>
      <w:rPr>
        <w:rFonts w:ascii="Wingdings" w:hAnsi="Wingdings" w:hint="default"/>
      </w:rPr>
    </w:lvl>
    <w:lvl w:ilvl="6" w:tplc="0C0A0001" w:tentative="1">
      <w:start w:val="1"/>
      <w:numFmt w:val="bullet"/>
      <w:lvlText w:val=""/>
      <w:lvlJc w:val="left"/>
      <w:pPr>
        <w:ind w:left="4822" w:hanging="360"/>
      </w:pPr>
      <w:rPr>
        <w:rFonts w:ascii="Symbol" w:hAnsi="Symbol" w:hint="default"/>
      </w:rPr>
    </w:lvl>
    <w:lvl w:ilvl="7" w:tplc="0C0A0003" w:tentative="1">
      <w:start w:val="1"/>
      <w:numFmt w:val="bullet"/>
      <w:lvlText w:val="o"/>
      <w:lvlJc w:val="left"/>
      <w:pPr>
        <w:ind w:left="5542" w:hanging="360"/>
      </w:pPr>
      <w:rPr>
        <w:rFonts w:ascii="Courier New" w:hAnsi="Courier New" w:cs="Courier New" w:hint="default"/>
      </w:rPr>
    </w:lvl>
    <w:lvl w:ilvl="8" w:tplc="0C0A0005" w:tentative="1">
      <w:start w:val="1"/>
      <w:numFmt w:val="bullet"/>
      <w:lvlText w:val=""/>
      <w:lvlJc w:val="left"/>
      <w:pPr>
        <w:ind w:left="6262" w:hanging="360"/>
      </w:pPr>
      <w:rPr>
        <w:rFonts w:ascii="Wingdings" w:hAnsi="Wingdings" w:hint="default"/>
      </w:rPr>
    </w:lvl>
  </w:abstractNum>
  <w:abstractNum w:abstractNumId="4" w15:restartNumberingAfterBreak="0">
    <w:nsid w:val="458C4EB7"/>
    <w:multiLevelType w:val="hybridMultilevel"/>
    <w:tmpl w:val="F4BEE6A4"/>
    <w:lvl w:ilvl="0" w:tplc="0C0A000F">
      <w:start w:val="1"/>
      <w:numFmt w:val="decimal"/>
      <w:lvlText w:val="%1."/>
      <w:lvlJc w:val="left"/>
      <w:pPr>
        <w:ind w:left="501" w:hanging="360"/>
      </w:pPr>
    </w:lvl>
    <w:lvl w:ilvl="1" w:tplc="0C0A0019" w:tentative="1">
      <w:start w:val="1"/>
      <w:numFmt w:val="lowerLetter"/>
      <w:lvlText w:val="%2."/>
      <w:lvlJc w:val="left"/>
      <w:pPr>
        <w:ind w:left="1221" w:hanging="360"/>
      </w:pPr>
    </w:lvl>
    <w:lvl w:ilvl="2" w:tplc="0C0A001B" w:tentative="1">
      <w:start w:val="1"/>
      <w:numFmt w:val="lowerRoman"/>
      <w:lvlText w:val="%3."/>
      <w:lvlJc w:val="right"/>
      <w:pPr>
        <w:ind w:left="1941" w:hanging="180"/>
      </w:pPr>
    </w:lvl>
    <w:lvl w:ilvl="3" w:tplc="0C0A000F" w:tentative="1">
      <w:start w:val="1"/>
      <w:numFmt w:val="decimal"/>
      <w:lvlText w:val="%4."/>
      <w:lvlJc w:val="left"/>
      <w:pPr>
        <w:ind w:left="2661" w:hanging="360"/>
      </w:pPr>
    </w:lvl>
    <w:lvl w:ilvl="4" w:tplc="0C0A0019" w:tentative="1">
      <w:start w:val="1"/>
      <w:numFmt w:val="lowerLetter"/>
      <w:lvlText w:val="%5."/>
      <w:lvlJc w:val="left"/>
      <w:pPr>
        <w:ind w:left="3381" w:hanging="360"/>
      </w:pPr>
    </w:lvl>
    <w:lvl w:ilvl="5" w:tplc="0C0A001B" w:tentative="1">
      <w:start w:val="1"/>
      <w:numFmt w:val="lowerRoman"/>
      <w:lvlText w:val="%6."/>
      <w:lvlJc w:val="right"/>
      <w:pPr>
        <w:ind w:left="4101" w:hanging="180"/>
      </w:pPr>
    </w:lvl>
    <w:lvl w:ilvl="6" w:tplc="0C0A000F" w:tentative="1">
      <w:start w:val="1"/>
      <w:numFmt w:val="decimal"/>
      <w:lvlText w:val="%7."/>
      <w:lvlJc w:val="left"/>
      <w:pPr>
        <w:ind w:left="4821" w:hanging="360"/>
      </w:pPr>
    </w:lvl>
    <w:lvl w:ilvl="7" w:tplc="0C0A0019" w:tentative="1">
      <w:start w:val="1"/>
      <w:numFmt w:val="lowerLetter"/>
      <w:lvlText w:val="%8."/>
      <w:lvlJc w:val="left"/>
      <w:pPr>
        <w:ind w:left="5541" w:hanging="360"/>
      </w:pPr>
    </w:lvl>
    <w:lvl w:ilvl="8" w:tplc="0C0A001B" w:tentative="1">
      <w:start w:val="1"/>
      <w:numFmt w:val="lowerRoman"/>
      <w:lvlText w:val="%9."/>
      <w:lvlJc w:val="right"/>
      <w:pPr>
        <w:ind w:left="6261" w:hanging="180"/>
      </w:pPr>
    </w:lvl>
  </w:abstractNum>
  <w:abstractNum w:abstractNumId="5" w15:restartNumberingAfterBreak="0">
    <w:nsid w:val="4CBF7854"/>
    <w:multiLevelType w:val="hybridMultilevel"/>
    <w:tmpl w:val="24620608"/>
    <w:lvl w:ilvl="0" w:tplc="0C0A000F">
      <w:start w:val="1"/>
      <w:numFmt w:val="decimal"/>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6" w15:restartNumberingAfterBreak="0">
    <w:nsid w:val="4E9D2BF1"/>
    <w:multiLevelType w:val="hybridMultilevel"/>
    <w:tmpl w:val="0FB0290C"/>
    <w:lvl w:ilvl="0" w:tplc="0C0A000D">
      <w:start w:val="1"/>
      <w:numFmt w:val="bullet"/>
      <w:lvlText w:val=""/>
      <w:lvlJc w:val="left"/>
      <w:pPr>
        <w:ind w:left="360" w:hanging="360"/>
      </w:pPr>
      <w:rPr>
        <w:rFonts w:ascii="Wingdings" w:hAnsi="Wingdings"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7" w15:restartNumberingAfterBreak="0">
    <w:nsid w:val="520F5A4A"/>
    <w:multiLevelType w:val="hybridMultilevel"/>
    <w:tmpl w:val="41DE5B16"/>
    <w:lvl w:ilvl="0" w:tplc="0C0A000D">
      <w:start w:val="1"/>
      <w:numFmt w:val="bullet"/>
      <w:lvlText w:val=""/>
      <w:lvlJc w:val="left"/>
      <w:pPr>
        <w:ind w:left="1069" w:hanging="360"/>
      </w:pPr>
      <w:rPr>
        <w:rFonts w:ascii="Wingdings" w:hAnsi="Wingdings" w:hint="default"/>
      </w:rPr>
    </w:lvl>
    <w:lvl w:ilvl="1" w:tplc="0C0A0003" w:tentative="1">
      <w:start w:val="1"/>
      <w:numFmt w:val="bullet"/>
      <w:lvlText w:val="o"/>
      <w:lvlJc w:val="left"/>
      <w:pPr>
        <w:ind w:left="1789" w:hanging="360"/>
      </w:pPr>
      <w:rPr>
        <w:rFonts w:ascii="Courier New" w:hAnsi="Courier New" w:cs="Courier New" w:hint="default"/>
      </w:rPr>
    </w:lvl>
    <w:lvl w:ilvl="2" w:tplc="0C0A0005" w:tentative="1">
      <w:start w:val="1"/>
      <w:numFmt w:val="bullet"/>
      <w:lvlText w:val=""/>
      <w:lvlJc w:val="left"/>
      <w:pPr>
        <w:ind w:left="2509" w:hanging="360"/>
      </w:pPr>
      <w:rPr>
        <w:rFonts w:ascii="Wingdings" w:hAnsi="Wingdings" w:hint="default"/>
      </w:rPr>
    </w:lvl>
    <w:lvl w:ilvl="3" w:tplc="0C0A0001" w:tentative="1">
      <w:start w:val="1"/>
      <w:numFmt w:val="bullet"/>
      <w:lvlText w:val=""/>
      <w:lvlJc w:val="left"/>
      <w:pPr>
        <w:ind w:left="3229" w:hanging="360"/>
      </w:pPr>
      <w:rPr>
        <w:rFonts w:ascii="Symbol" w:hAnsi="Symbol" w:hint="default"/>
      </w:rPr>
    </w:lvl>
    <w:lvl w:ilvl="4" w:tplc="0C0A0003" w:tentative="1">
      <w:start w:val="1"/>
      <w:numFmt w:val="bullet"/>
      <w:lvlText w:val="o"/>
      <w:lvlJc w:val="left"/>
      <w:pPr>
        <w:ind w:left="3949" w:hanging="360"/>
      </w:pPr>
      <w:rPr>
        <w:rFonts w:ascii="Courier New" w:hAnsi="Courier New" w:cs="Courier New" w:hint="default"/>
      </w:rPr>
    </w:lvl>
    <w:lvl w:ilvl="5" w:tplc="0C0A0005" w:tentative="1">
      <w:start w:val="1"/>
      <w:numFmt w:val="bullet"/>
      <w:lvlText w:val=""/>
      <w:lvlJc w:val="left"/>
      <w:pPr>
        <w:ind w:left="4669" w:hanging="360"/>
      </w:pPr>
      <w:rPr>
        <w:rFonts w:ascii="Wingdings" w:hAnsi="Wingdings" w:hint="default"/>
      </w:rPr>
    </w:lvl>
    <w:lvl w:ilvl="6" w:tplc="0C0A0001" w:tentative="1">
      <w:start w:val="1"/>
      <w:numFmt w:val="bullet"/>
      <w:lvlText w:val=""/>
      <w:lvlJc w:val="left"/>
      <w:pPr>
        <w:ind w:left="5389" w:hanging="360"/>
      </w:pPr>
      <w:rPr>
        <w:rFonts w:ascii="Symbol" w:hAnsi="Symbol" w:hint="default"/>
      </w:rPr>
    </w:lvl>
    <w:lvl w:ilvl="7" w:tplc="0C0A0003" w:tentative="1">
      <w:start w:val="1"/>
      <w:numFmt w:val="bullet"/>
      <w:lvlText w:val="o"/>
      <w:lvlJc w:val="left"/>
      <w:pPr>
        <w:ind w:left="6109" w:hanging="360"/>
      </w:pPr>
      <w:rPr>
        <w:rFonts w:ascii="Courier New" w:hAnsi="Courier New" w:cs="Courier New" w:hint="default"/>
      </w:rPr>
    </w:lvl>
    <w:lvl w:ilvl="8" w:tplc="0C0A0005" w:tentative="1">
      <w:start w:val="1"/>
      <w:numFmt w:val="bullet"/>
      <w:lvlText w:val=""/>
      <w:lvlJc w:val="left"/>
      <w:pPr>
        <w:ind w:left="6829" w:hanging="360"/>
      </w:pPr>
      <w:rPr>
        <w:rFonts w:ascii="Wingdings" w:hAnsi="Wingdings" w:hint="default"/>
      </w:rPr>
    </w:lvl>
  </w:abstractNum>
  <w:abstractNum w:abstractNumId="8" w15:restartNumberingAfterBreak="0">
    <w:nsid w:val="79E47B69"/>
    <w:multiLevelType w:val="hybridMultilevel"/>
    <w:tmpl w:val="5C76B066"/>
    <w:lvl w:ilvl="0" w:tplc="0C0A0015">
      <w:start w:val="1"/>
      <w:numFmt w:val="upperLetter"/>
      <w:lvlText w:val="%1."/>
      <w:lvlJc w:val="left"/>
      <w:pPr>
        <w:ind w:left="502" w:hanging="360"/>
      </w:pPr>
    </w:lvl>
    <w:lvl w:ilvl="1" w:tplc="0C0A0019" w:tentative="1">
      <w:start w:val="1"/>
      <w:numFmt w:val="lowerLetter"/>
      <w:lvlText w:val="%2."/>
      <w:lvlJc w:val="left"/>
      <w:pPr>
        <w:ind w:left="1222" w:hanging="360"/>
      </w:pPr>
    </w:lvl>
    <w:lvl w:ilvl="2" w:tplc="0C0A001B" w:tentative="1">
      <w:start w:val="1"/>
      <w:numFmt w:val="lowerRoman"/>
      <w:lvlText w:val="%3."/>
      <w:lvlJc w:val="right"/>
      <w:pPr>
        <w:ind w:left="1942" w:hanging="180"/>
      </w:pPr>
    </w:lvl>
    <w:lvl w:ilvl="3" w:tplc="0C0A000F" w:tentative="1">
      <w:start w:val="1"/>
      <w:numFmt w:val="decimal"/>
      <w:lvlText w:val="%4."/>
      <w:lvlJc w:val="left"/>
      <w:pPr>
        <w:ind w:left="2662" w:hanging="360"/>
      </w:pPr>
    </w:lvl>
    <w:lvl w:ilvl="4" w:tplc="0C0A0019" w:tentative="1">
      <w:start w:val="1"/>
      <w:numFmt w:val="lowerLetter"/>
      <w:lvlText w:val="%5."/>
      <w:lvlJc w:val="left"/>
      <w:pPr>
        <w:ind w:left="3382" w:hanging="360"/>
      </w:pPr>
    </w:lvl>
    <w:lvl w:ilvl="5" w:tplc="0C0A001B" w:tentative="1">
      <w:start w:val="1"/>
      <w:numFmt w:val="lowerRoman"/>
      <w:lvlText w:val="%6."/>
      <w:lvlJc w:val="right"/>
      <w:pPr>
        <w:ind w:left="4102" w:hanging="180"/>
      </w:pPr>
    </w:lvl>
    <w:lvl w:ilvl="6" w:tplc="0C0A000F" w:tentative="1">
      <w:start w:val="1"/>
      <w:numFmt w:val="decimal"/>
      <w:lvlText w:val="%7."/>
      <w:lvlJc w:val="left"/>
      <w:pPr>
        <w:ind w:left="4822" w:hanging="360"/>
      </w:pPr>
    </w:lvl>
    <w:lvl w:ilvl="7" w:tplc="0C0A0019" w:tentative="1">
      <w:start w:val="1"/>
      <w:numFmt w:val="lowerLetter"/>
      <w:lvlText w:val="%8."/>
      <w:lvlJc w:val="left"/>
      <w:pPr>
        <w:ind w:left="5542" w:hanging="360"/>
      </w:pPr>
    </w:lvl>
    <w:lvl w:ilvl="8" w:tplc="0C0A001B" w:tentative="1">
      <w:start w:val="1"/>
      <w:numFmt w:val="lowerRoman"/>
      <w:lvlText w:val="%9."/>
      <w:lvlJc w:val="right"/>
      <w:pPr>
        <w:ind w:left="6262" w:hanging="180"/>
      </w:pPr>
    </w:lvl>
  </w:abstractNum>
  <w:abstractNum w:abstractNumId="9" w15:restartNumberingAfterBreak="0">
    <w:nsid w:val="7D324119"/>
    <w:multiLevelType w:val="hybridMultilevel"/>
    <w:tmpl w:val="183E499E"/>
    <w:lvl w:ilvl="0" w:tplc="0C0A000D">
      <w:start w:val="1"/>
      <w:numFmt w:val="bullet"/>
      <w:lvlText w:val=""/>
      <w:lvlJc w:val="left"/>
      <w:pPr>
        <w:ind w:left="1352" w:hanging="360"/>
      </w:pPr>
      <w:rPr>
        <w:rFonts w:ascii="Wingdings" w:hAnsi="Wingdings" w:hint="default"/>
      </w:rPr>
    </w:lvl>
    <w:lvl w:ilvl="1" w:tplc="0C0A0003" w:tentative="1">
      <w:start w:val="1"/>
      <w:numFmt w:val="bullet"/>
      <w:lvlText w:val="o"/>
      <w:lvlJc w:val="left"/>
      <w:pPr>
        <w:ind w:left="2072" w:hanging="360"/>
      </w:pPr>
      <w:rPr>
        <w:rFonts w:ascii="Courier New" w:hAnsi="Courier New" w:cs="Courier New" w:hint="default"/>
      </w:rPr>
    </w:lvl>
    <w:lvl w:ilvl="2" w:tplc="0C0A0005" w:tentative="1">
      <w:start w:val="1"/>
      <w:numFmt w:val="bullet"/>
      <w:lvlText w:val=""/>
      <w:lvlJc w:val="left"/>
      <w:pPr>
        <w:ind w:left="2792" w:hanging="360"/>
      </w:pPr>
      <w:rPr>
        <w:rFonts w:ascii="Wingdings" w:hAnsi="Wingdings" w:hint="default"/>
      </w:rPr>
    </w:lvl>
    <w:lvl w:ilvl="3" w:tplc="0C0A0001" w:tentative="1">
      <w:start w:val="1"/>
      <w:numFmt w:val="bullet"/>
      <w:lvlText w:val=""/>
      <w:lvlJc w:val="left"/>
      <w:pPr>
        <w:ind w:left="3512" w:hanging="360"/>
      </w:pPr>
      <w:rPr>
        <w:rFonts w:ascii="Symbol" w:hAnsi="Symbol" w:hint="default"/>
      </w:rPr>
    </w:lvl>
    <w:lvl w:ilvl="4" w:tplc="0C0A0003" w:tentative="1">
      <w:start w:val="1"/>
      <w:numFmt w:val="bullet"/>
      <w:lvlText w:val="o"/>
      <w:lvlJc w:val="left"/>
      <w:pPr>
        <w:ind w:left="4232" w:hanging="360"/>
      </w:pPr>
      <w:rPr>
        <w:rFonts w:ascii="Courier New" w:hAnsi="Courier New" w:cs="Courier New" w:hint="default"/>
      </w:rPr>
    </w:lvl>
    <w:lvl w:ilvl="5" w:tplc="0C0A0005" w:tentative="1">
      <w:start w:val="1"/>
      <w:numFmt w:val="bullet"/>
      <w:lvlText w:val=""/>
      <w:lvlJc w:val="left"/>
      <w:pPr>
        <w:ind w:left="4952" w:hanging="360"/>
      </w:pPr>
      <w:rPr>
        <w:rFonts w:ascii="Wingdings" w:hAnsi="Wingdings" w:hint="default"/>
      </w:rPr>
    </w:lvl>
    <w:lvl w:ilvl="6" w:tplc="0C0A0001" w:tentative="1">
      <w:start w:val="1"/>
      <w:numFmt w:val="bullet"/>
      <w:lvlText w:val=""/>
      <w:lvlJc w:val="left"/>
      <w:pPr>
        <w:ind w:left="5672" w:hanging="360"/>
      </w:pPr>
      <w:rPr>
        <w:rFonts w:ascii="Symbol" w:hAnsi="Symbol" w:hint="default"/>
      </w:rPr>
    </w:lvl>
    <w:lvl w:ilvl="7" w:tplc="0C0A0003" w:tentative="1">
      <w:start w:val="1"/>
      <w:numFmt w:val="bullet"/>
      <w:lvlText w:val="o"/>
      <w:lvlJc w:val="left"/>
      <w:pPr>
        <w:ind w:left="6392" w:hanging="360"/>
      </w:pPr>
      <w:rPr>
        <w:rFonts w:ascii="Courier New" w:hAnsi="Courier New" w:cs="Courier New" w:hint="default"/>
      </w:rPr>
    </w:lvl>
    <w:lvl w:ilvl="8" w:tplc="0C0A0005" w:tentative="1">
      <w:start w:val="1"/>
      <w:numFmt w:val="bullet"/>
      <w:lvlText w:val=""/>
      <w:lvlJc w:val="left"/>
      <w:pPr>
        <w:ind w:left="7112" w:hanging="360"/>
      </w:pPr>
      <w:rPr>
        <w:rFonts w:ascii="Wingdings" w:hAnsi="Wingdings" w:hint="default"/>
      </w:rPr>
    </w:lvl>
  </w:abstractNum>
  <w:num w:numId="1">
    <w:abstractNumId w:val="6"/>
  </w:num>
  <w:num w:numId="2">
    <w:abstractNumId w:val="5"/>
  </w:num>
  <w:num w:numId="3">
    <w:abstractNumId w:val="9"/>
  </w:num>
  <w:num w:numId="4">
    <w:abstractNumId w:val="3"/>
  </w:num>
  <w:num w:numId="5">
    <w:abstractNumId w:val="8"/>
  </w:num>
  <w:num w:numId="6">
    <w:abstractNumId w:val="7"/>
  </w:num>
  <w:num w:numId="7">
    <w:abstractNumId w:val="2"/>
  </w:num>
  <w:num w:numId="8">
    <w:abstractNumId w:val="1"/>
  </w:num>
  <w:num w:numId="9">
    <w:abstractNumId w:val="0"/>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2A2C"/>
    <w:rsid w:val="001065CB"/>
    <w:rsid w:val="001C0E7C"/>
    <w:rsid w:val="002671E9"/>
    <w:rsid w:val="00292618"/>
    <w:rsid w:val="00410E82"/>
    <w:rsid w:val="00443407"/>
    <w:rsid w:val="004E3763"/>
    <w:rsid w:val="00604736"/>
    <w:rsid w:val="006B2A2C"/>
    <w:rsid w:val="00760041"/>
    <w:rsid w:val="00950B4B"/>
    <w:rsid w:val="00A04660"/>
    <w:rsid w:val="00A93180"/>
    <w:rsid w:val="00C867A4"/>
    <w:rsid w:val="00E203CA"/>
    <w:rsid w:val="00EA2AC4"/>
    <w:rsid w:val="00F11E71"/>
    <w:rsid w:val="00F90CC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E59D6C"/>
  <w15:chartTrackingRefBased/>
  <w15:docId w15:val="{A1F645A4-0646-4327-89AD-2607AD27F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B2A2C"/>
    <w:pPr>
      <w:spacing w:before="240" w:after="200" w:line="240" w:lineRule="auto"/>
      <w:jc w:val="both"/>
    </w:pPr>
    <w:rPr>
      <w:sz w:val="24"/>
    </w:rPr>
  </w:style>
  <w:style w:type="paragraph" w:styleId="Ttulo1">
    <w:name w:val="heading 1"/>
    <w:basedOn w:val="Normal"/>
    <w:next w:val="Normal"/>
    <w:link w:val="Ttulo1Car"/>
    <w:uiPriority w:val="9"/>
    <w:qFormat/>
    <w:rsid w:val="00EA2AC4"/>
    <w:pPr>
      <w:keepNext/>
      <w:keepLines/>
      <w:spacing w:after="0"/>
      <w:jc w:val="center"/>
      <w:outlineLvl w:val="0"/>
    </w:pPr>
    <w:rPr>
      <w:rFonts w:eastAsiaTheme="majorEastAsia" w:cstheme="majorBidi"/>
      <w:b/>
      <w:sz w:val="36"/>
      <w:szCs w:val="32"/>
    </w:rPr>
  </w:style>
  <w:style w:type="paragraph" w:styleId="Ttulo2">
    <w:name w:val="heading 2"/>
    <w:basedOn w:val="Normal"/>
    <w:next w:val="Normal"/>
    <w:link w:val="Ttulo2Car"/>
    <w:uiPriority w:val="9"/>
    <w:semiHidden/>
    <w:unhideWhenUsed/>
    <w:qFormat/>
    <w:rsid w:val="001C0E7C"/>
    <w:pPr>
      <w:keepNext/>
      <w:keepLines/>
      <w:jc w:val="center"/>
      <w:outlineLvl w:val="1"/>
    </w:pPr>
    <w:rPr>
      <w:rFonts w:eastAsiaTheme="majorEastAsia" w:cstheme="majorBidi"/>
      <w:b/>
      <w:color w:val="7F7F7F" w:themeColor="text1" w:themeTint="80"/>
      <w:sz w:val="32"/>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04736"/>
    <w:pPr>
      <w:tabs>
        <w:tab w:val="center" w:pos="4252"/>
        <w:tab w:val="right" w:pos="8504"/>
      </w:tabs>
      <w:spacing w:after="0"/>
    </w:pPr>
  </w:style>
  <w:style w:type="character" w:customStyle="1" w:styleId="EncabezadoCar">
    <w:name w:val="Encabezado Car"/>
    <w:basedOn w:val="Fuentedeprrafopredeter"/>
    <w:link w:val="Encabezado"/>
    <w:uiPriority w:val="99"/>
    <w:rsid w:val="00604736"/>
  </w:style>
  <w:style w:type="paragraph" w:styleId="Piedepgina">
    <w:name w:val="footer"/>
    <w:basedOn w:val="Normal"/>
    <w:link w:val="PiedepginaCar"/>
    <w:uiPriority w:val="99"/>
    <w:unhideWhenUsed/>
    <w:rsid w:val="00604736"/>
    <w:pPr>
      <w:tabs>
        <w:tab w:val="center" w:pos="4252"/>
        <w:tab w:val="right" w:pos="8504"/>
      </w:tabs>
      <w:spacing w:after="0"/>
    </w:pPr>
  </w:style>
  <w:style w:type="character" w:customStyle="1" w:styleId="PiedepginaCar">
    <w:name w:val="Pie de página Car"/>
    <w:basedOn w:val="Fuentedeprrafopredeter"/>
    <w:link w:val="Piedepgina"/>
    <w:uiPriority w:val="99"/>
    <w:rsid w:val="00604736"/>
  </w:style>
  <w:style w:type="character" w:customStyle="1" w:styleId="Ttulo1Car">
    <w:name w:val="Título 1 Car"/>
    <w:basedOn w:val="Fuentedeprrafopredeter"/>
    <w:link w:val="Ttulo1"/>
    <w:uiPriority w:val="9"/>
    <w:rsid w:val="00EA2AC4"/>
    <w:rPr>
      <w:rFonts w:eastAsiaTheme="majorEastAsia" w:cstheme="majorBidi"/>
      <w:b/>
      <w:sz w:val="36"/>
      <w:szCs w:val="32"/>
    </w:rPr>
  </w:style>
  <w:style w:type="character" w:customStyle="1" w:styleId="Ttulo2Car">
    <w:name w:val="Título 2 Car"/>
    <w:basedOn w:val="Fuentedeprrafopredeter"/>
    <w:link w:val="Ttulo2"/>
    <w:uiPriority w:val="9"/>
    <w:semiHidden/>
    <w:rsid w:val="001C0E7C"/>
    <w:rPr>
      <w:rFonts w:eastAsiaTheme="majorEastAsia" w:cstheme="majorBidi"/>
      <w:b/>
      <w:color w:val="7F7F7F" w:themeColor="text1" w:themeTint="80"/>
      <w:sz w:val="32"/>
      <w:szCs w:val="26"/>
    </w:rPr>
  </w:style>
  <w:style w:type="paragraph" w:styleId="Sinespaciado">
    <w:name w:val="No Spacing"/>
    <w:link w:val="SinespaciadoCar"/>
    <w:uiPriority w:val="1"/>
    <w:qFormat/>
    <w:rsid w:val="006B2A2C"/>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6B2A2C"/>
    <w:rPr>
      <w:rFonts w:eastAsiaTheme="minorEastAsia"/>
      <w:lang w:eastAsia="es-ES"/>
    </w:rPr>
  </w:style>
  <w:style w:type="paragraph" w:styleId="TtuloTDC">
    <w:name w:val="TOC Heading"/>
    <w:basedOn w:val="Ttulo1"/>
    <w:next w:val="Normal"/>
    <w:uiPriority w:val="39"/>
    <w:unhideWhenUsed/>
    <w:qFormat/>
    <w:rsid w:val="006B2A2C"/>
    <w:pPr>
      <w:jc w:val="left"/>
      <w:outlineLvl w:val="9"/>
    </w:pPr>
    <w:rPr>
      <w:rFonts w:asciiTheme="majorHAnsi" w:hAnsiTheme="majorHAnsi"/>
      <w:b w:val="0"/>
      <w:color w:val="2E74B5" w:themeColor="accent1" w:themeShade="BF"/>
      <w:sz w:val="32"/>
      <w:lang w:eastAsia="es-ES"/>
    </w:rPr>
  </w:style>
  <w:style w:type="paragraph" w:styleId="TDC1">
    <w:name w:val="toc 1"/>
    <w:basedOn w:val="Normal"/>
    <w:next w:val="Normal"/>
    <w:autoRedefine/>
    <w:uiPriority w:val="39"/>
    <w:unhideWhenUsed/>
    <w:rsid w:val="006B2A2C"/>
    <w:pPr>
      <w:spacing w:after="100"/>
    </w:pPr>
  </w:style>
  <w:style w:type="character" w:styleId="Hipervnculo">
    <w:name w:val="Hyperlink"/>
    <w:basedOn w:val="Fuentedeprrafopredeter"/>
    <w:uiPriority w:val="99"/>
    <w:unhideWhenUsed/>
    <w:rsid w:val="006B2A2C"/>
    <w:rPr>
      <w:color w:val="0563C1" w:themeColor="hyperlink"/>
      <w:u w:val="single"/>
    </w:rPr>
  </w:style>
  <w:style w:type="paragraph" w:styleId="Prrafodelista">
    <w:name w:val="List Paragraph"/>
    <w:basedOn w:val="Normal"/>
    <w:uiPriority w:val="34"/>
    <w:qFormat/>
    <w:rsid w:val="0076004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ocuments\Plantillas%20personalizadas%20de%20Office\Doc1.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E57B5447AD4C0AB0431D53504C576B"/>
        <w:category>
          <w:name w:val="General"/>
          <w:gallery w:val="placeholder"/>
        </w:category>
        <w:types>
          <w:type w:val="bbPlcHdr"/>
        </w:types>
        <w:behaviors>
          <w:behavior w:val="content"/>
        </w:behaviors>
        <w:guid w:val="{CF4A3BEF-2223-405C-BBC3-194B4DC323CB}"/>
      </w:docPartPr>
      <w:docPartBody>
        <w:p w:rsidR="00000000" w:rsidRDefault="00A37101" w:rsidP="00A37101">
          <w:pPr>
            <w:pStyle w:val="19E57B5447AD4C0AB0431D53504C576B"/>
          </w:pPr>
          <w:r>
            <w:rPr>
              <w:rFonts w:asciiTheme="majorHAnsi" w:eastAsiaTheme="majorEastAsia" w:hAnsiTheme="majorHAnsi" w:cstheme="majorBidi"/>
              <w:caps/>
              <w:color w:val="5B9BD5" w:themeColor="accent1"/>
              <w:sz w:val="80"/>
              <w:szCs w:val="80"/>
            </w:rPr>
            <w:t>[Título del documento]</w:t>
          </w:r>
        </w:p>
      </w:docPartBody>
    </w:docPart>
    <w:docPart>
      <w:docPartPr>
        <w:name w:val="6C8670F1BB6D4BB8B0186E45C7B9C722"/>
        <w:category>
          <w:name w:val="General"/>
          <w:gallery w:val="placeholder"/>
        </w:category>
        <w:types>
          <w:type w:val="bbPlcHdr"/>
        </w:types>
        <w:behaviors>
          <w:behavior w:val="content"/>
        </w:behaviors>
        <w:guid w:val="{990F2BE5-FE86-41BC-BD37-5EC2C9512A30}"/>
      </w:docPartPr>
      <w:docPartBody>
        <w:p w:rsidR="00000000" w:rsidRDefault="00A37101" w:rsidP="00A37101">
          <w:pPr>
            <w:pStyle w:val="6C8670F1BB6D4BB8B0186E45C7B9C722"/>
          </w:pPr>
          <w:r>
            <w:rPr>
              <w:color w:val="5B9BD5"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7101"/>
    <w:rsid w:val="004049B6"/>
    <w:rsid w:val="00A3710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19E57B5447AD4C0AB0431D53504C576B">
    <w:name w:val="19E57B5447AD4C0AB0431D53504C576B"/>
    <w:rsid w:val="00A37101"/>
  </w:style>
  <w:style w:type="paragraph" w:customStyle="1" w:styleId="6C8670F1BB6D4BB8B0186E45C7B9C722">
    <w:name w:val="6C8670F1BB6D4BB8B0186E45C7B9C722"/>
    <w:rsid w:val="00A3710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2025-05-20T00:00:00</PublishDate>
  <Abstract/>
  <CompanyAddress>Francisco Javier Otero Herrero</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7D892D-9465-43EB-B985-1D6B178E17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Doc1.dotx</Template>
  <TotalTime>66</TotalTime>
  <Pages>9</Pages>
  <Words>2093</Words>
  <Characters>11513</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PROCESO DE ARRANQUE Y PARADA. LOGS</vt:lpstr>
    </vt:vector>
  </TitlesOfParts>
  <Company>Grupo atu</Company>
  <LinksUpToDate>false</LinksUpToDate>
  <CharactersWithSpaces>13579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PROCESO DE ARRANQUE Y PARADA. LOGS</dc:title>
  <dc:subject>ACTIVIDAD 4</dc:subject>
  <dc:creator>Francisco J. Otero Herrero</dc:creator>
  <cp:keywords/>
  <dc:description/>
  <cp:lastModifiedBy>Usuario</cp:lastModifiedBy>
  <cp:revision>9</cp:revision>
  <cp:lastPrinted>2025-05-20T11:18:00Z</cp:lastPrinted>
  <dcterms:created xsi:type="dcterms:W3CDTF">2025-05-20T10:13:00Z</dcterms:created>
  <dcterms:modified xsi:type="dcterms:W3CDTF">2025-05-20T11:19:00Z</dcterms:modified>
</cp:coreProperties>
</file>