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color w:val="1B365D"/>
        </w:rPr>
        <w:t>Informe: Implementación Base del Agente ReAct</w:t>
      </w:r>
    </w:p>
    <w:p>
      <w:pPr>
        <w:spacing w:after="120"/>
      </w:pPr>
      <w:r>
        <w:t>Este informe detalla la arquitectura, el diseño y los componentes que conforman la implementación base del agente inteligente de la aplicación, diseñado para desempeñarse como asistente contable interactivo.</w:t>
      </w:r>
    </w:p>
    <w:p>
      <w:pPr>
        <w:spacing w:after="120"/>
      </w:pPr>
      <w:r>
        <w:t>---</w:t>
      </w:r>
    </w:p>
    <w:p>
      <w:pPr>
        <w:pStyle w:val="Heading2"/>
        <w:spacing w:before="240" w:after="80"/>
      </w:pPr>
      <w:r>
        <w:rPr>
          <w:rFonts w:ascii="Calibri" w:hAnsi="Calibri"/>
          <w:color w:val="3B5998"/>
        </w:rPr>
        <w:t>1. Arquitectura de la Solución (Flujo ReAct)</w:t>
      </w:r>
    </w:p>
    <w:p>
      <w:pPr>
        <w:spacing w:after="120"/>
      </w:pPr>
      <w:r>
        <w:t>El agente está diseñado bajo el patrón ReAct (Reasoning and Acting), el cual combina el razonamiento del Modelo de Lenguaje (LLM) con la ejecución en tiempo real de herramientas funcionales externas.</w:t>
      </w:r>
    </w:p>
    <w:p>
      <w:pPr>
        <w:spacing w:after="120"/>
      </w:pPr>
      <w:r>
        <w:t>La arquitectura general del flujo conversacional se describe a continuación:</w:t>
      </w:r>
    </w:p>
    <w:p>
      <w:pPr>
        <w:spacing w:after="120"/>
      </w:pPr>
      <w:r>
        <w:t>---</w:t>
      </w:r>
    </w:p>
    <w:p>
      <w:pPr>
        <w:pStyle w:val="Heading2"/>
        <w:spacing w:before="240" w:after="80"/>
      </w:pPr>
      <w:r>
        <w:rPr>
          <w:rFonts w:ascii="Calibri" w:hAnsi="Calibri"/>
          <w:color w:val="3B5998"/>
        </w:rPr>
        <w:t>2. Componentes Principales del Agente</w:t>
      </w:r>
    </w:p>
    <w:p>
      <w:pPr>
        <w:spacing w:after="120"/>
      </w:pPr>
      <w:r>
        <w:t>El código fuente del agente se organiza en el módulo `agent` y consta de los siguientes archivos y responsabilidades:</w:t>
      </w:r>
    </w:p>
    <w:p>
      <w:pPr>
        <w:pStyle w:val="Heading3"/>
        <w:spacing w:before="120" w:after="40"/>
      </w:pPr>
      <w:r>
        <w:rPr>
          <w:rFonts w:ascii="Calibri" w:hAnsi="Calibri"/>
          <w:color w:val="5B79B8"/>
        </w:rPr>
        <w:t>A. El Núcleo del Agente ([core.py](file:///C:/Users/Pc/Documents/UTN/Quinto/IA/TP2/UTN-FRSF-IA-TP2/agent/core.py))</w:t>
      </w:r>
    </w:p>
    <w:p>
      <w:pPr>
        <w:spacing w:after="120"/>
      </w:pPr>
      <w:r>
        <w:t>Es la clase orquestadora principal (`ReActAgent`). Sus responsabilidades incluyen:</w:t>
      </w:r>
    </w:p>
    <w:p>
      <w:pPr>
        <w:pStyle w:val="ListBullet"/>
        <w:spacing w:after="60"/>
      </w:pPr>
      <w:r>
        <w:rPr>
          <w:b/>
        </w:rPr>
        <w:t>Construcción del Contexto (`_build_system`):</w:t>
      </w:r>
      <w:r>
        <w:t xml:space="preserve"> Formatea las instrucciones principales del sistema cargando dinámicamente información sensible al contexto, como el tipo de contribuyente del cliente (desde la memoria a largo plazo) y la fecha actual.</w:t>
      </w:r>
    </w:p>
    <w:p>
      <w:pPr>
        <w:pStyle w:val="ListBullet"/>
        <w:spacing w:after="60"/>
      </w:pPr>
      <w:r>
        <w:rPr>
          <w:b/>
        </w:rPr>
        <w:t>Ejecución del Loop ReAct (`chat`):</w:t>
      </w:r>
      <w:r>
        <w:t xml:space="preserve"> Ejecuta un ciclo iterativo (máximo 5 iteraciones) donde acumula el razonamiento en un borrador (scratchpad).</w:t>
      </w:r>
    </w:p>
    <w:p>
      <w:pPr>
        <w:pStyle w:val="ListBullet"/>
        <w:spacing w:after="60"/>
      </w:pPr>
      <w:r>
        <w:rPr>
          <w:b/>
        </w:rPr>
        <w:t>Análisis de Salida (`_parse_action`):</w:t>
      </w:r>
      <w:r>
        <w:t xml:space="preserve"> Utiliza expresiones regulares para extraer las directivas de Gemini estructuradas bajo el formato standard de ReAct:</w:t>
      </w:r>
    </w:p>
    <w:p>
      <w:pPr>
        <w:pStyle w:val="ListBullet"/>
        <w:spacing w:after="60"/>
      </w:pPr>
      <w:r>
        <w:t>Thought (Pensamiento)</w:t>
      </w:r>
    </w:p>
    <w:p>
      <w:pPr>
        <w:pStyle w:val="ListBullet"/>
        <w:spacing w:after="60"/>
      </w:pPr>
      <w:r>
        <w:t>Action (Nombre de la herramienta)</w:t>
      </w:r>
    </w:p>
    <w:p>
      <w:pPr>
        <w:pStyle w:val="ListBullet"/>
        <w:spacing w:after="60"/>
      </w:pPr>
      <w:r>
        <w:t>Action Input (Parámetros JSON de la herramienta)</w:t>
      </w:r>
    </w:p>
    <w:p>
      <w:pPr>
        <w:pStyle w:val="ListBullet"/>
        <w:spacing w:after="60"/>
      </w:pPr>
      <w:r>
        <w:t>Observation (Resultado de la ejecución)</w:t>
      </w:r>
    </w:p>
    <w:p>
      <w:pPr>
        <w:pStyle w:val="ListBullet"/>
        <w:spacing w:after="60"/>
      </w:pPr>
      <w:r>
        <w:t>Final Answer (Respuesta definitiva al usuario)</w:t>
      </w:r>
    </w:p>
    <w:p>
      <w:pPr>
        <w:pStyle w:val="ListBullet"/>
        <w:spacing w:after="60"/>
      </w:pPr>
      <w:r>
        <w:rPr>
          <w:b/>
        </w:rPr>
        <w:t>Plan de Contingencia (Timeout):</w:t>
      </w:r>
      <w:r>
        <w:t xml:space="preserve"> Si el loop alcanza las iteraciones máximas sin una respuesta final, automáticamente deriva la consulta llamando a la herramienta `escalar_consulta` e informa al cliente.</w:t>
      </w:r>
    </w:p>
    <w:p>
      <w:pPr>
        <w:pStyle w:val="Heading3"/>
        <w:spacing w:before="120" w:after="40"/>
      </w:pPr>
      <w:r>
        <w:rPr>
          <w:rFonts w:ascii="Calibri" w:hAnsi="Calibri"/>
          <w:color w:val="5B79B8"/>
        </w:rPr>
        <w:t>B. Gestión de Memoria ([memory.py](file:///C:/Users/Pc/Documents/UTN/Quinto/IA/TP2/UTN-FRSF-IA-TP2/agent/memory.py))</w:t>
      </w:r>
    </w:p>
    <w:p>
      <w:pPr>
        <w:spacing w:after="120"/>
      </w:pPr>
      <w:r>
        <w:t>El agente cuenta con dos niveles de almacenamiento para asegurar coherencia contextual y personalización:</w:t>
      </w:r>
    </w:p>
    <w:p>
      <w:pPr>
        <w:spacing w:after="120"/>
      </w:pPr>
      <w:r>
        <w:t>1. Memoria a Corto Plazo (`ShortTermMemory`):</w:t>
      </w:r>
    </w:p>
    <w:p>
      <w:pPr>
        <w:pStyle w:val="ListBullet"/>
        <w:spacing w:after="60"/>
      </w:pPr>
      <w:r>
        <w:t>Almacena de manera local (en RAM) el historial de mensajes de la sesión activa (`user`, `assistant`, `tool`).</w:t>
      </w:r>
    </w:p>
    <w:p>
      <w:pPr>
        <w:pStyle w:val="ListBullet"/>
        <w:spacing w:after="60"/>
      </w:pPr>
      <w:r>
        <w:t>Se envía por completo al LLM en cada llamada para mantener el hilo de la conversación.</w:t>
      </w:r>
    </w:p>
    <w:p>
      <w:pPr>
        <w:spacing w:after="120"/>
      </w:pPr>
      <w:r>
        <w:t>2. Memoria a Largo Plazo (`LongTermMemory`):</w:t>
      </w:r>
    </w:p>
    <w:p>
      <w:pPr>
        <w:pStyle w:val="ListBullet"/>
        <w:spacing w:after="60"/>
      </w:pPr>
      <w:r>
        <w:t>Almacena datos del perfil persistente del cliente (por ejemplo, su tipo de contribuyente).</w:t>
      </w:r>
    </w:p>
    <w:p>
      <w:pPr>
        <w:pStyle w:val="ListBullet"/>
        <w:spacing w:after="60"/>
      </w:pPr>
      <w:r>
        <w:rPr>
          <w:b/>
        </w:rPr>
        <w:t>Backend Configurable:</w:t>
      </w:r>
      <w:r>
        <w:t xml:space="preserve"> Funciona a través de la variable de entorno `MEMORY_BACKEND`:</w:t>
      </w:r>
    </w:p>
    <w:p>
      <w:pPr>
        <w:pStyle w:val="ListBullet"/>
        <w:spacing w:after="60"/>
      </w:pPr>
      <w:r>
        <w:rPr>
          <w:b/>
        </w:rPr>
        <w:t>`redis`:</w:t>
      </w:r>
      <w:r>
        <w:t xml:space="preserve"> Persiste el perfil en un servicio en la nube (Upstash / Redis Cloud) con un tiempo de expiración (TTL) de 7 días.</w:t>
      </w:r>
    </w:p>
    <w:p>
      <w:pPr>
        <w:pStyle w:val="ListBullet"/>
        <w:spacing w:after="60"/>
      </w:pPr>
      <w:r>
        <w:rPr>
          <w:b/>
        </w:rPr>
        <w:t>`memory`:</w:t>
      </w:r>
      <w:r>
        <w:t xml:space="preserve"> Fallback que almacena la información en RAM dentro del diccionario del proceso (útil para desarrollo rápido local).</w:t>
      </w:r>
    </w:p>
    <w:p>
      <w:pPr>
        <w:pStyle w:val="Heading3"/>
        <w:spacing w:before="120" w:after="40"/>
      </w:pPr>
      <w:r>
        <w:rPr>
          <w:rFonts w:ascii="Calibri" w:hAnsi="Calibri"/>
          <w:color w:val="5B79B8"/>
        </w:rPr>
        <w:t>C. Caja de Herramientas o Tools ([tools.py](file:///C:/Users/Pc/Documents/UTN/Quinto/IA/TP2/UTN-FRSF-IA-TP2/agent/tools.py))</w:t>
      </w:r>
    </w:p>
    <w:p>
      <w:pPr>
        <w:spacing w:after="120"/>
      </w:pPr>
      <w:r>
        <w:t>El agente puede consultar y accionar sobre el exterior mediante las siguientes funciones declaradas en un esquema JSON (`TOOLS_SCHEMA`):</w:t>
      </w:r>
    </w:p>
    <w:p>
      <w:pPr>
        <w:pStyle w:val="ListBullet"/>
        <w:spacing w:after="60"/>
      </w:pPr>
      <w:r>
        <w:rPr>
          <w:b/>
        </w:rPr>
        <w:t>`buscar_en_documentos(query)`:</w:t>
      </w:r>
      <w:r>
        <w:t xml:space="preserve"> Realiza una búsqueda semántica de documentos en la base de datos Supabase usando embeddings vectoriales (módulo RAG).</w:t>
      </w:r>
    </w:p>
    <w:p>
      <w:pPr>
        <w:pStyle w:val="ListBullet"/>
        <w:spacing w:after="60"/>
      </w:pPr>
      <w:r>
        <w:rPr>
          <w:b/>
        </w:rPr>
        <w:t>`consultar_vencimientos(tipo_contribuyente, mes)`:</w:t>
      </w:r>
      <w:r>
        <w:t xml:space="preserve"> Consulta un diccionario estático local que contiene los vencimientos de obligaciones de Monotributo, Responsable Inscripto, etc.</w:t>
      </w:r>
    </w:p>
    <w:p>
      <w:pPr>
        <w:pStyle w:val="ListBullet"/>
        <w:spacing w:after="60"/>
      </w:pPr>
      <w:r>
        <w:rPr>
          <w:b/>
        </w:rPr>
        <w:t>`escalar_consulta(motivo, datos_cliente)`:</w:t>
      </w:r>
      <w:r>
        <w:t xml:space="preserve"> Registra la consulta para derivación a un contador humano en caso de exceder el alcance del agente o fallas de resolución.</w:t>
      </w:r>
    </w:p>
    <w:p>
      <w:pPr>
        <w:pStyle w:val="ListBullet"/>
        <w:spacing w:after="60"/>
      </w:pPr>
      <w:r>
        <w:rPr>
          <w:b/>
        </w:rPr>
        <w:t>`obtener_fecha_hora()`:</w:t>
      </w:r>
      <w:r>
        <w:t xml:space="preserve"> Proporciona la fecha y hora actuales, facilitando al LLM el cálculo de vencimientos relativos.</w:t>
      </w:r>
    </w:p>
    <w:p>
      <w:pPr>
        <w:pStyle w:val="Heading3"/>
        <w:spacing w:before="120" w:after="40"/>
      </w:pPr>
      <w:r>
        <w:rPr>
          <w:rFonts w:ascii="Calibri" w:hAnsi="Calibri"/>
          <w:color w:val="5B79B8"/>
        </w:rPr>
        <w:t>D. Extracción Heurística de Perfiles</w:t>
      </w:r>
    </w:p>
    <w:p>
      <w:pPr>
        <w:spacing w:after="120"/>
      </w:pPr>
      <w:r>
        <w:t>Dentro de `core.py`, el método `_extract_and_save_profile` analiza de forma asíncrona los mensajes del usuario o los resultados de las herramientas. Si detecta términos clave (ej. "monotributo", "responsable inscripto"), actualiza automáticamente la memoria a largo plazo del usuario, permitiendo que las consultas subsiguientes utilicen este perfil pre-cargado en el prompt de sistema.</w:t>
      </w:r>
    </w:p>
    <w:p>
      <w:pPr>
        <w:spacing w:after="120"/>
      </w:pPr>
      <w:r>
        <w:t>---</w:t>
      </w:r>
    </w:p>
    <w:p>
      <w:pPr>
        <w:pStyle w:val="Heading2"/>
        <w:spacing w:before="240" w:after="80"/>
      </w:pPr>
      <w:r>
        <w:rPr>
          <w:rFonts w:ascii="Calibri" w:hAnsi="Calibri"/>
          <w:color w:val="3B5998"/>
        </w:rPr>
        <w:t>3. Configuración del Entorno y Ciclo de Vida</w:t>
      </w:r>
    </w:p>
    <w:p>
      <w:pPr>
        <w:spacing w:after="120"/>
      </w:pPr>
      <w:r>
        <w:t>El comportamiento del agente se rige por variables de entorno especificadas en el archivo `.env`:</w:t>
      </w:r>
    </w:p>
    <w:tbl>
      <w:tblPr>
        <w:tblStyle w:val="TableGrid"/>
        <w:tblW w:type="auto" w:w="0"/>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4F81BD"/>
          </w:tcPr>
          <w:p>
            <w:pPr>
              <w:jc w:val="center"/>
            </w:pPr>
            <w:r>
              <w:rPr>
                <w:b/>
                <w:color w:val="FFFFFF"/>
              </w:rPr>
              <w:t>Variable</w:t>
            </w:r>
          </w:p>
        </w:tc>
        <w:tc>
          <w:tcPr>
            <w:tcW w:type="dxa" w:w="4680"/>
            <w:tcMar>
              <w:top w:w="100" w:type="dxa"/>
              <w:bottom w:w="100" w:type="dxa"/>
              <w:left w:w="150" w:type="dxa"/>
              <w:right w:w="150" w:type="dxa"/>
            </w:tcMar>
            <w:shd w:fill="4F81BD"/>
          </w:tcPr>
          <w:p>
            <w:pPr>
              <w:jc w:val="center"/>
            </w:pPr>
            <w:r>
              <w:rPr>
                <w:b/>
                <w:color w:val="FFFFFF"/>
              </w:rPr>
              <w:t>Rol en el Agente</w:t>
            </w:r>
          </w:p>
        </w:tc>
      </w:tr>
      <w:tr>
        <w:tc>
          <w:tcPr>
            <w:tcW w:type="dxa" w:w="4680"/>
            <w:tcMar>
              <w:top w:w="100" w:type="dxa"/>
              <w:bottom w:w="100" w:type="dxa"/>
              <w:left w:w="150" w:type="dxa"/>
              <w:right w:w="150" w:type="dxa"/>
            </w:tcMar>
          </w:tcPr>
          <w:p>
            <w:r>
              <w:t>`GEMINI_API_KEY`</w:t>
            </w:r>
          </w:p>
        </w:tc>
        <w:tc>
          <w:tcPr>
            <w:tcW w:type="dxa" w:w="4680"/>
            <w:tcMar>
              <w:top w:w="100" w:type="dxa"/>
              <w:bottom w:w="100" w:type="dxa"/>
              <w:left w:w="150" w:type="dxa"/>
              <w:right w:w="150" w:type="dxa"/>
            </w:tcMar>
          </w:tcPr>
          <w:p>
            <w:r>
              <w:t>Autenticación ante la API de Google Studio.</w:t>
            </w:r>
          </w:p>
        </w:tc>
      </w:tr>
      <w:tr>
        <w:tc>
          <w:tcPr>
            <w:tcW w:type="dxa" w:w="4680"/>
            <w:tcMar>
              <w:top w:w="100" w:type="dxa"/>
              <w:bottom w:w="100" w:type="dxa"/>
              <w:left w:w="150" w:type="dxa"/>
              <w:right w:w="150" w:type="dxa"/>
            </w:tcMar>
            <w:shd w:fill="F2F2F2"/>
          </w:tcPr>
          <w:p>
            <w:r>
              <w:t>`LLM_MODEL`</w:t>
            </w:r>
          </w:p>
        </w:tc>
        <w:tc>
          <w:tcPr>
            <w:tcW w:type="dxa" w:w="4680"/>
            <w:tcMar>
              <w:top w:w="100" w:type="dxa"/>
              <w:bottom w:w="100" w:type="dxa"/>
              <w:left w:w="150" w:type="dxa"/>
              <w:right w:w="150" w:type="dxa"/>
            </w:tcMar>
            <w:shd w:fill="F2F2F2"/>
          </w:tcPr>
          <w:p>
            <w:r>
              <w:t>Modelo de lenguaje a utilizar (ej: `gemini-3.5-flash` o `gemini-2.0-flash`).</w:t>
            </w:r>
          </w:p>
        </w:tc>
      </w:tr>
      <w:tr>
        <w:tc>
          <w:tcPr>
            <w:tcW w:type="dxa" w:w="4680"/>
            <w:tcMar>
              <w:top w:w="100" w:type="dxa"/>
              <w:bottom w:w="100" w:type="dxa"/>
              <w:left w:w="150" w:type="dxa"/>
              <w:right w:w="150" w:type="dxa"/>
            </w:tcMar>
          </w:tcPr>
          <w:p>
            <w:r>
              <w:t>`MEMORY_BACKEND`</w:t>
            </w:r>
          </w:p>
        </w:tc>
        <w:tc>
          <w:tcPr>
            <w:tcW w:type="dxa" w:w="4680"/>
            <w:tcMar>
              <w:top w:w="100" w:type="dxa"/>
              <w:bottom w:w="100" w:type="dxa"/>
              <w:left w:w="150" w:type="dxa"/>
              <w:right w:w="150" w:type="dxa"/>
            </w:tcMar>
          </w:tcPr>
          <w:p>
            <w:r>
              <w:t>Switch entre `memory` (volátil) y `redis` (persistente en Upstash).</w:t>
            </w:r>
          </w:p>
        </w:tc>
      </w:tr>
      <w:tr>
        <w:tc>
          <w:tcPr>
            <w:tcW w:type="dxa" w:w="4680"/>
            <w:tcMar>
              <w:top w:w="100" w:type="dxa"/>
              <w:bottom w:w="100" w:type="dxa"/>
              <w:left w:w="150" w:type="dxa"/>
              <w:right w:w="150" w:type="dxa"/>
            </w:tcMar>
            <w:shd w:fill="F2F2F2"/>
          </w:tcPr>
          <w:p>
            <w:r>
              <w:t>`REDIS_URL`</w:t>
            </w:r>
          </w:p>
        </w:tc>
        <w:tc>
          <w:tcPr>
            <w:tcW w:type="dxa" w:w="4680"/>
            <w:tcMar>
              <w:top w:w="100" w:type="dxa"/>
              <w:bottom w:w="100" w:type="dxa"/>
              <w:left w:w="150" w:type="dxa"/>
              <w:right w:w="150" w:type="dxa"/>
            </w:tcMar>
            <w:shd w:fill="F2F2F2"/>
          </w:tcPr>
          <w:p>
            <w:r>
              <w:t>URL de conexión de Redis (`rediss://...`) para la memoria a largo plazo.</w:t>
            </w:r>
          </w:p>
        </w:tc>
      </w:tr>
      <w:tr>
        <w:tc>
          <w:tcPr>
            <w:tcW w:type="dxa" w:w="4680"/>
            <w:tcMar>
              <w:top w:w="100" w:type="dxa"/>
              <w:bottom w:w="100" w:type="dxa"/>
              <w:left w:w="150" w:type="dxa"/>
              <w:right w:w="150" w:type="dxa"/>
            </w:tcMar>
          </w:tcPr>
          <w:p>
            <w:r>
              <w:t>`MAX_REACT_ITERATIONS`</w:t>
            </w:r>
          </w:p>
        </w:tc>
        <w:tc>
          <w:tcPr>
            <w:tcW w:type="dxa" w:w="4680"/>
            <w:tcMar>
              <w:top w:w="100" w:type="dxa"/>
              <w:bottom w:w="100" w:type="dxa"/>
              <w:left w:w="150" w:type="dxa"/>
              <w:right w:w="150" w:type="dxa"/>
            </w:tcMar>
          </w:tcPr>
          <w:p>
            <w:r>
              <w:t>Límite preventivo de ciclos Thought/Action (por defecto `5`).</w:t>
            </w:r>
          </w:p>
        </w:tc>
      </w:tr>
      <w:tr>
        <w:tc>
          <w:tcPr>
            <w:tcW w:type="dxa" w:w="4680"/>
            <w:tcMar>
              <w:top w:w="100" w:type="dxa"/>
              <w:bottom w:w="100" w:type="dxa"/>
              <w:left w:w="150" w:type="dxa"/>
              <w:right w:w="150" w:type="dxa"/>
            </w:tcMar>
            <w:shd w:fill="F2F2F2"/>
          </w:tcPr>
          <w:p>
            <w:r>
              <w:t>`SUPABASE_URL` &amp; `SUPABASE_KEY`</w:t>
            </w:r>
          </w:p>
        </w:tc>
        <w:tc>
          <w:tcPr>
            <w:tcW w:type="dxa" w:w="4680"/>
            <w:tcMar>
              <w:top w:w="100" w:type="dxa"/>
              <w:bottom w:w="100" w:type="dxa"/>
              <w:left w:w="150" w:type="dxa"/>
              <w:right w:w="150" w:type="dxa"/>
            </w:tcMar>
            <w:shd w:fill="F2F2F2"/>
          </w:tcPr>
          <w:p>
            <w:r>
              <w:t>Credenciales para la ejecución del RAG.</w:t>
            </w:r>
          </w:p>
        </w:tc>
      </w:tr>
    </w:tbl>
    <w:p>
      <w:pPr>
        <w:spacing w:before="120" w:after="120"/>
        <w:ind w:left="360"/>
        <w:pBdr>
          <w:left w:val="single" w:sz="18" w:space="8" w:color="4F81BD"/>
        </w:pBdr>
      </w:pPr>
      <w:r>
        <w:rPr>
          <w:i/>
          <w:color w:val="555555"/>
        </w:rPr>
        <w:t>La inicialización de la API de Supabase se ha adaptado para que sea opcional durante el inicio del servidor, previniendo fallos críticos de arranque en entornos de desarrollo donde el RAG aún no esté configurado.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