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color w:val="1B365D"/>
        </w:rPr>
        <w:t>Informe: Arquitectura del Sistema, Razonamiento y Conexiones del Agente</w:t>
      </w:r>
    </w:p>
    <w:p>
      <w:pPr>
        <w:spacing w:after="120"/>
      </w:pPr>
      <w:r>
        <w:t>Este informe describe de manera consolidada la infraestructura tecnológica del asistente inteligente: sus conexiones externas, el workflow conversacional, la integración de herramientas locales y externas (RAG), la estrategia de razonamiento (ReAct) y el subsistema de observabilidad y logging.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1. Conexiones Externas del Sistema</w:t>
      </w:r>
    </w:p>
    <w:p>
      <w:pPr>
        <w:spacing w:after="120"/>
      </w:pPr>
      <w:r>
        <w:t>Para desempeñar sus tareas, el asistente interactúa de manera segura con servicios en la nube a través de sus correspondientes APIs y protocolos:</w:t>
      </w:r>
    </w:p>
    <w:p>
      <w:pPr>
        <w:pStyle w:val="ListBullet"/>
        <w:spacing w:after="60"/>
      </w:pPr>
      <w:r>
        <w:rPr>
          <w:b/>
        </w:rPr>
        <w:t>Google AI Studio (Gemini 3.5 Flash):</w:t>
      </w:r>
      <w:r>
        <w:t xml:space="preserve"> Proveedor del modelo fundacional para procesamiento del lenguaje natural y lógica ReAct. Conexión a través de HTTPS con el SDK `google-genai`.</w:t>
      </w:r>
    </w:p>
    <w:p>
      <w:pPr>
        <w:pStyle w:val="ListBullet"/>
        <w:spacing w:after="60"/>
      </w:pPr>
      <w:r>
        <w:rPr>
          <w:b/>
        </w:rPr>
        <w:t>Redis Cloud / Upstash:</w:t>
      </w:r>
      <w:r>
        <w:t xml:space="preserve"> Almacén clave-valor NoSQL para la persistencia del perfil básico del cliente con un TTL de 7 días. Conexión segura usando TLS (`rediss://`).</w:t>
      </w:r>
    </w:p>
    <w:p>
      <w:pPr>
        <w:pStyle w:val="ListBullet"/>
        <w:spacing w:after="60"/>
      </w:pPr>
      <w:r>
        <w:rPr>
          <w:b/>
        </w:rPr>
        <w:t>Supabase (pgvector):</w:t>
      </w:r>
      <w:r>
        <w:t xml:space="preserve"> Base de datos PostgreSQL con extensión vectorial para almacenar y recuperar de forma semántica los documentos contables internos.</w:t>
      </w:r>
    </w:p>
    <w:p>
      <w:pPr>
        <w:pStyle w:val="ListBullet"/>
        <w:spacing w:after="60"/>
      </w:pPr>
      <w:r>
        <w:rPr>
          <w:b/>
        </w:rPr>
        <w:t>Langfuse Cloud:</w:t>
      </w:r>
      <w:r>
        <w:t xml:space="preserve"> Plataforma externa de telemetría de IA que centraliza auditorías del comportamiento de LLMs y ejecuciones de herramientas.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2. Loop de Razonamiento ReAct y Workflow</w:t>
      </w:r>
    </w:p>
    <w:p>
      <w:pPr>
        <w:spacing w:after="120"/>
      </w:pPr>
      <w:r>
        <w:t>El agente implementa un loop de razonamiento ReAct (Reasoning and Acting) con un límite físico configurable de 5 iteraciones. Este proceso asegura que el agente planifique, actúe, observe el resultado y finalmente retorne una respuesta al cliente.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Flujo Detallado de una Iteración:</w:t>
      </w:r>
    </w:p>
    <w:p>
      <w:pPr>
        <w:spacing w:after="120"/>
      </w:pPr>
      <w:r>
        <w:t>1. Thought (Pensamiento): El LLM determina qué información le falta o qué acción debe tomar basándose en el historial y la pregunta del usuario.</w:t>
      </w:r>
    </w:p>
    <w:p>
      <w:pPr>
        <w:spacing w:after="120"/>
      </w:pPr>
      <w:r>
        <w:t>2. Action (Acción): Si requiere información externa, el LLM emite el nombre de una herramienta específica.</w:t>
      </w:r>
    </w:p>
    <w:p>
      <w:pPr>
        <w:spacing w:after="120"/>
      </w:pPr>
      <w:r>
        <w:t>3. Action Input (Parámetros): El LLM provee los argumentos de la herramienta en formato JSON estructurado.</w:t>
      </w:r>
    </w:p>
    <w:p>
      <w:pPr>
        <w:spacing w:after="120"/>
      </w:pPr>
      <w:r>
        <w:t>4. Observation (Observación): El agente intercepta la llamada, ejecuta el código Python localmente, obtiene el resultado y lo añade al scratchpad (borrador de pensamientos) para la siguiente iteración.</w:t>
      </w:r>
    </w:p>
    <w:p>
      <w:pPr>
        <w:spacing w:after="120"/>
      </w:pPr>
      <w:r>
        <w:t>5. Final Answer (Respuesta Final): Cuando el LLM cuenta con suficiente información, emite la respuesta final orientada al cliente.</w:t>
      </w:r>
    </w:p>
    <w:p>
      <w:pPr>
        <w:spacing w:before="120" w:after="120"/>
        <w:ind w:left="360"/>
        <w:pBdr>
          <w:left w:val="single" w:sz="18" w:space="8" w:color="4F81BD"/>
        </w:pBdr>
      </w:pPr>
      <w:r>
        <w:rPr>
          <w:i/>
          <w:color w:val="555555"/>
        </w:rPr>
        <w:t>Timeout y Escalado: Si el loop realiza 5 ciclos sin llegar a un acuerdo o si ocurre un fallo no recuperable, el sistema llama automáticamente a la función `escalar_consulta` para derivar el caso a un contador humano de forma preventiva.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3. Integración de Herramientas (Tools) y RAG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A. Registro de Herramientas</w:t>
      </w:r>
    </w:p>
    <w:p>
      <w:pPr>
        <w:spacing w:after="120"/>
      </w:pPr>
      <w:r>
        <w:t>Las herramientas se registran de forma descriptiva mediante esquemas en formato JSON Schema (`TOOLS_SCHEMA`). Esto permite al LLM comprender qué hace cada función y cómo invocarla:</w:t>
      </w:r>
    </w:p>
    <w:p>
      <w:pPr>
        <w:pStyle w:val="ListBullet"/>
        <w:spacing w:after="60"/>
      </w:pPr>
      <w:r>
        <w:rPr>
          <w:b/>
        </w:rPr>
        <w:t>`buscar_en_documentos`:</w:t>
      </w:r>
      <w:r>
        <w:t xml:space="preserve"> Búsqueda en normativas y guías (RAG).</w:t>
      </w:r>
    </w:p>
    <w:p>
      <w:pPr>
        <w:pStyle w:val="ListBullet"/>
        <w:spacing w:after="60"/>
      </w:pPr>
      <w:r>
        <w:rPr>
          <w:b/>
        </w:rPr>
        <w:t>`consultar_vencimientos`:</w:t>
      </w:r>
      <w:r>
        <w:t xml:space="preserve"> Consulta de fechas clave locales por tipo de contribuyente y mes.</w:t>
      </w:r>
    </w:p>
    <w:p>
      <w:pPr>
        <w:pStyle w:val="ListBullet"/>
        <w:spacing w:after="60"/>
      </w:pPr>
      <w:r>
        <w:rPr>
          <w:b/>
        </w:rPr>
        <w:t>`escalar_consulta`:</w:t>
      </w:r>
      <w:r>
        <w:t xml:space="preserve"> Derivación a contadores humanos.</w:t>
      </w:r>
    </w:p>
    <w:p>
      <w:pPr>
        <w:pStyle w:val="ListBullet"/>
        <w:spacing w:after="60"/>
      </w:pPr>
      <w:r>
        <w:rPr>
          <w:b/>
        </w:rPr>
        <w:t>`obtener_fecha_hora`:</w:t>
      </w:r>
      <w:r>
        <w:t xml:space="preserve"> Fecha y hora actual del sistema.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B. Funcionamiento del RAG (Retrieval-Augmented Generation)</w:t>
      </w:r>
    </w:p>
    <w:p>
      <w:pPr>
        <w:spacing w:after="120"/>
      </w:pPr>
      <w:r>
        <w:t>Cuando el agente ejecuta `buscar_en_documentos`, se dispara el siguiente flujo semántico en `rag/retriever.py`:</w:t>
      </w:r>
    </w:p>
    <w:p>
      <w:pPr>
        <w:spacing w:after="120"/>
      </w:pPr>
      <w:r>
        <w:t>1. Generación de Embeddings: La consulta en lenguaje natural se envía a la API de Gemini usando el modelo `models/gemini-embedding-2` para convertirla en un vector numérico.</w:t>
      </w:r>
    </w:p>
    <w:p>
      <w:pPr>
        <w:spacing w:after="120"/>
      </w:pPr>
      <w:r>
        <w:t>2. Búsqueda Vectorial (RPC): El vector se envía a Supabase llamando a la función almacenada `match_documentos`. Esta función computa la similitud de coseno contra los documentos ingestados en la base de datos PostgreSQL.</w:t>
      </w:r>
    </w:p>
    <w:p>
      <w:pPr>
        <w:spacing w:after="120"/>
      </w:pPr>
      <w:r>
        <w:t>3. Filtrado por Umbral: Se retornan únicamente los fragmentos que superan el umbral mínimo de similitud (`SIMILARITY_THRESHOLD`, por defecto `0.7`), indicando explícitamente su fuente original (ej. "Calendario AFIP").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4. Logging de Llamadas y Observabilidad</w:t>
      </w:r>
    </w:p>
    <w:p>
      <w:pPr>
        <w:spacing w:after="120"/>
      </w:pPr>
      <w:r>
        <w:t>El sistema utiliza la biblioteca `langfuse` para instrumentar y medir el comportamiento del agente sin interferir en su rendimiento primario.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Componentes de Logging ([observability/logger.py](file:///C:/Users/Pc/Documents/UTN/Quinto/IA/TP2/UTN-FRSF-IA-TP2/observability/logger.py)):</w:t>
      </w:r>
    </w:p>
    <w:p>
      <w:pPr>
        <w:pStyle w:val="ListBullet"/>
        <w:spacing w:after="60"/>
      </w:pPr>
      <w:r>
        <w:rPr>
          <w:b/>
        </w:rPr>
        <w:t>Llamadas al LLM (`log_llm_call` / `log_llm_response`):</w:t>
      </w:r>
      <w:r/>
    </w:p>
    <w:p>
      <w:pPr>
        <w:spacing w:after="120"/>
      </w:pPr>
      <w:r>
        <w:t>Registra el prompt consolidado enviado, el modelo utilizado, el tiempo de latencia y la respuesta generada por Gemini utilizando observaciones de tipo `generation`.</w:t>
      </w:r>
    </w:p>
    <w:p>
      <w:pPr>
        <w:pStyle w:val="ListBullet"/>
        <w:spacing w:after="60"/>
      </w:pPr>
      <w:r>
        <w:rPr>
          <w:b/>
        </w:rPr>
        <w:t>Llamadas a Herramientas (`log_tool_call`):</w:t>
      </w:r>
      <w:r/>
    </w:p>
    <w:p>
      <w:pPr>
        <w:spacing w:after="120"/>
      </w:pPr>
      <w:r>
        <w:t>Registra la ejecución de herramientas mediante observaciones de tipo `span`, capturando detalladamente los parámetros de entrada y la salida de datos de cada tool.</w:t>
      </w:r>
    </w:p>
    <w:p>
      <w:pPr>
        <w:pStyle w:val="ListBullet"/>
        <w:spacing w:after="60"/>
      </w:pPr>
      <w:r>
        <w:rPr>
          <w:b/>
        </w:rPr>
        <w:t>Seguridad y Tolerancia a Fallos:</w:t>
      </w:r>
      <w:r/>
    </w:p>
    <w:p>
      <w:pPr>
        <w:spacing w:after="120"/>
      </w:pPr>
      <w:r>
        <w:t>La lógica de observabilidad está protegida dentro de bloques `try-except` globales. Si hay problemas de conexión con el servidor de Langfuse, el agente emite una advertencia de advertencia (`[WARN]`) en la consola local pero continúa atendiendo la conversación normalmente para no degradar la experiencia de usuario.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