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color w:val="1B365D"/>
        </w:rPr>
        <w:t>Informe: Flujo de Interacción con el LLM</w:t>
      </w:r>
    </w:p>
    <w:p>
      <w:pPr>
        <w:spacing w:after="120"/>
      </w:pPr>
      <w:r>
        <w:t>Este informe describe detalladamente el flujo de comunicación e interacción entre el agente y el LLM (Gemini 3.5 Flash) en nuestro sistema, detallando cómo se estructuran las entradas, cómo se invocan los endpoints y cómo se procesan las respuestas.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1. Diagrama del Ciclo de Vida de una Consulta (LLM Flow)</w:t>
      </w:r>
    </w:p>
    <w:p>
      <w:pPr>
        <w:spacing w:after="120"/>
      </w:pPr>
      <w:r>
        <w:t>Cada mensaje enviado por un cliente inicia un flujo estructurado de formateo, consulta y análisis recursivo: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2. Construcción del Prompt Consolidado</w:t>
      </w:r>
    </w:p>
    <w:p>
      <w:pPr>
        <w:spacing w:after="120"/>
      </w:pPr>
      <w:r>
        <w:t>A diferencia de otros frameworks que estructuran los mensajes en listas nativas de roles (system/user/assistant), la integración base del agente concatena todo el contexto conversacional en una sola cadena de texto plana para alimentar el modelo.</w:t>
      </w:r>
    </w:p>
    <w:p>
      <w:pPr>
        <w:spacing w:after="120"/>
      </w:pPr>
      <w:r>
        <w:t>El prompt final enviado al LLM se compone de:</w:t>
      </w:r>
    </w:p>
    <w:p>
      <w:pPr>
        <w:spacing w:after="120"/>
      </w:pPr>
      <w:r>
        <w:t>1. System Instructions (Instrucciones del Sistema): Define las reglas del asistente contable (no inventar fechas, indicar fuentes, derivar al contador) y se formatea dinámicamente con la fecha actual y la información del cliente (`tipo_contribuyente`).</w:t>
      </w:r>
    </w:p>
    <w:p>
      <w:pPr>
        <w:spacing w:after="120"/>
      </w:pPr>
      <w:r>
        <w:t>2. Esquema de Herramientas (JSON Schema): Se añade una lista en formato JSON que detalla el nombre, la descripción y los parámetros de cada herramienta disponible.</w:t>
      </w:r>
    </w:p>
    <w:p>
      <w:pPr>
        <w:spacing w:after="120"/>
      </w:pPr>
      <w:r>
        <w:t>3. Historial Conversacional (Short-Term Memory): Se agregan las interacciones anteriores del usuario y el asistente en la sesión actual.</w:t>
      </w:r>
    </w:p>
    <w:p>
      <w:pPr>
        <w:spacing w:after="120"/>
      </w:pPr>
      <w:r>
        <w:t>4. Borrador de Razonamiento (Scratchpad): Acumula el histórico de pensamientos (`Thought`), acciones (`Action`), parámetros (`Action Input`) y resultados (`Observation`) de las iteraciones actuales del ciclo ReAct.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3. Invocación de la API mediante el SDK `google-genai`</w:t>
      </w:r>
    </w:p>
    <w:p>
      <w:pPr>
        <w:spacing w:after="120"/>
      </w:pPr>
      <w:r>
        <w:t>El agente utiliza la última versión del SDK oficial de Google Generative AI para Python. La llamada se encapsula en el método `_call_llm`:</w:t>
      </w:r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># Carga del cliente oficial con la API Key correspondiente</w:t>
        <w:br/>
        <w:t>genai_client = genai.Client(api_key=os.getenv("GEMINI_API_KEY"))</w:t>
        <w:br/>
        <w:br/>
        <w:t># Formateo y llamada a Gemini 3.5 Flash (o modelo configurado)</w:t>
        <w:br/>
        <w:t>prompt = "\n".join(f"{m['role'].upper()}: {m['content']}" for m in messages)</w:t>
        <w:br/>
        <w:t>response = genai_client.models.generate_content(</w:t>
        <w:br/>
        <w:t xml:space="preserve">    model="gemini-3.5-flash",</w:t>
        <w:br/>
        <w:t xml:space="preserve">    contents=prompt</w:t>
        <w:br/>
        <w:t>)</w:t>
        <w:br/>
        <w:t>text = response.text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4. Parsing del Formato ReAct</w:t>
      </w:r>
    </w:p>
    <w:p>
      <w:pPr>
        <w:spacing w:after="120"/>
      </w:pPr>
      <w:r>
        <w:t>Una vez que Gemini devuelve la respuesta, el método `_parse_action` analiza sintácticamente el texto utilizando expresiones regulares (Regex) para determinar el siguiente paso: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A. Detección de Respuesta Final</w:t>
      </w:r>
    </w:p>
    <w:p>
      <w:pPr>
        <w:spacing w:after="120"/>
      </w:pPr>
      <w:r>
        <w:t>El parser busca la palabra clave `Final Answer:`. Si la encuentra, extrae todo el texto subsiguiente y finaliza el proceso de razonamiento.</w:t>
      </w:r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>r"Final Answer:\s*(.+)"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B. Detección de Llamada a Herramientas</w:t>
      </w:r>
    </w:p>
    <w:p>
      <w:pPr>
        <w:spacing w:after="120"/>
      </w:pPr>
      <w:r>
        <w:t>Si no hay una respuesta final, el parser busca bloques que especifiquen una acción y sus argumentos correspondientes en formato JSON.</w:t>
      </w:r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>Action:\s*(\w+)</w:t>
        <w:br/>
        <w:t>Action Input:\s*(\{.+?\})</w:t>
      </w:r>
    </w:p>
    <w:p>
      <w:pPr>
        <w:pStyle w:val="ListBullet"/>
        <w:spacing w:after="60"/>
      </w:pPr>
      <w:r>
        <w:rPr>
          <w:b/>
        </w:rPr>
        <w:t>Ejemplo de Salida de Gemini:</w:t>
      </w:r>
      <w:r/>
    </w:p>
    <w:p>
      <w:pPr>
        <w:spacing w:before="80" w:after="80"/>
        <w:ind w:left="360"/>
        <w:shd w:fill="F5F5F5"/>
        <w:pBdr>
          <w:left w:val="single" w:sz="24" w:space="4" w:color="CCCCCC"/>
        </w:pBdr>
      </w:pPr>
      <w:r>
        <w:rPr>
          <w:rFonts w:ascii="Consolas" w:hAnsi="Consolas"/>
          <w:color w:val="333333"/>
          <w:sz w:val="19"/>
        </w:rPr>
        <w:t xml:space="preserve">  Thought: Necesito consultar las fechas de vencimiento de IVA para junio.</w:t>
        <w:br/>
        <w:t xml:space="preserve">  Action: consultar_vencimientos</w:t>
        <w:br/>
        <w:t xml:space="preserve">  Action Input: {"tipo_contribuyente": "responsable_inscripto", "mes": 6}</w:t>
      </w:r>
    </w:p>
    <w:p>
      <w:pPr>
        <w:spacing w:after="120"/>
      </w:pPr>
      <w:r>
        <w:t>El agente extrae el nombre de la herramienta (`consultar_vencimientos`), decodifica los parámetros JSON y ejecuta la función correspondiente de forma local.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C. Fallback de Seguridad</w:t>
      </w:r>
    </w:p>
    <w:p>
      <w:pPr>
        <w:spacing w:after="120"/>
      </w:pPr>
      <w:r>
        <w:t>Si la respuesta del LLM no coincide con ninguno de los patrones esperados de ReAct, el agente actúa con cautela: toma la salida cruda del modelo y la trata directamente como la `Final Answer` para evitar bloqueos del sistema.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color w:val="3B5998"/>
        </w:rPr>
        <w:t>5. Gestión de Excepciones y Trazabilidad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A. Control de Errores de API</w:t>
      </w:r>
    </w:p>
    <w:p>
      <w:pPr>
        <w:spacing w:after="120"/>
      </w:pPr>
      <w:r>
        <w:t>El flujo incluye un manejo robusto de errores de red o cuotas de la API de Google, traduciendo códigos HTTP complejos a mensajes comprensibles para el usuario:</w:t>
      </w:r>
    </w:p>
    <w:p>
      <w:pPr>
        <w:pStyle w:val="ListBullet"/>
        <w:spacing w:after="60"/>
      </w:pPr>
      <w:r>
        <w:rPr>
          <w:b/>
        </w:rPr>
        <w:t>Error 429 (Resource Exhausted):</w:t>
      </w:r>
      <w:r>
        <w:t xml:space="preserve"> Advierte que los créditos se han agotado y provee el enlace de recarga en AI Studio.</w:t>
      </w:r>
    </w:p>
    <w:p>
      <w:pPr>
        <w:pStyle w:val="ListBullet"/>
        <w:spacing w:after="60"/>
      </w:pPr>
      <w:r>
        <w:rPr>
          <w:b/>
        </w:rPr>
        <w:t>Error 401 (Unauthenticated):</w:t>
      </w:r>
      <w:r>
        <w:t xml:space="preserve"> Indica problemas con las credenciales de `GEMINI_API_KEY`.</w:t>
      </w:r>
    </w:p>
    <w:p>
      <w:pPr>
        <w:pStyle w:val="ListBullet"/>
        <w:spacing w:after="60"/>
      </w:pPr>
      <w:r>
        <w:rPr>
          <w:b/>
        </w:rPr>
        <w:t>Error 403 (Permission Denied):</w:t>
      </w:r>
      <w:r>
        <w:t xml:space="preserve"> Alerta sobre permisos insuficientes en el proyecto.</w:t>
      </w:r>
    </w:p>
    <w:p>
      <w:pPr>
        <w:pStyle w:val="Heading3"/>
        <w:spacing w:before="120" w:after="40"/>
      </w:pPr>
      <w:r>
        <w:rPr>
          <w:rFonts w:ascii="Calibri" w:hAnsi="Calibri"/>
          <w:color w:val="5B79B8"/>
        </w:rPr>
        <w:t>B. Monitoreo y Observabilidad</w:t>
      </w:r>
    </w:p>
    <w:p>
      <w:pPr>
        <w:spacing w:after="120"/>
      </w:pPr>
      <w:r>
        <w:t>Toda interacción es registrada de manera asíncrona mediante un Logger de observabilidad integrado con Langfuse, almacenando trazas detalladas de:</w:t>
      </w:r>
    </w:p>
    <w:p>
      <w:pPr>
        <w:pStyle w:val="ListBullet"/>
        <w:spacing w:after="60"/>
      </w:pPr>
      <w:r>
        <w:t>Mensajes enviados.</w:t>
      </w:r>
    </w:p>
    <w:p>
      <w:pPr>
        <w:pStyle w:val="ListBullet"/>
        <w:spacing w:after="60"/>
      </w:pPr>
      <w:r>
        <w:t>Prompts exactos procesados por el LLM.</w:t>
      </w:r>
    </w:p>
    <w:p>
      <w:pPr>
        <w:pStyle w:val="ListBullet"/>
        <w:spacing w:after="60"/>
      </w:pPr>
      <w:r>
        <w:t>Respuestas crudas retornadas.</w:t>
      </w:r>
    </w:p>
    <w:p>
      <w:pPr>
        <w:pStyle w:val="ListBullet"/>
        <w:spacing w:after="60"/>
      </w:pPr>
      <w:r>
        <w:t>Tiempos de latencia de la API.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