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Noto Serif CJK SC" w:hAnsi="Noto Serif CJK SC" w:eastAsia="Noto Serif CJK SC"/>
          <w:b/>
          <w:color w:val="1F4E78"/>
          <w:sz w:val="50"/>
        </w:rPr>
        <w:t>企业级 RPKI 网络安全管理平台</w:t>
      </w:r>
    </w:p>
    <w:p>
      <w:pPr>
        <w:spacing w:before="240"/>
        <w:jc w:val="center"/>
      </w:pPr>
      <w:r>
        <w:rPr>
          <w:rFonts w:ascii="Noto Serif CJK SC" w:hAnsi="Noto Serif CJK SC" w:eastAsia="Noto Serif CJK SC"/>
          <w:b/>
          <w:color w:val="35536A"/>
          <w:sz w:val="38"/>
        </w:rPr>
        <w:t>功能需求文档</w:t>
      </w:r>
    </w:p>
    <w:p>
      <w:pPr>
        <w:spacing w:before="400"/>
        <w:jc w:val="center"/>
      </w:pPr>
      <w:r>
        <w:rPr>
          <w:rFonts w:ascii="Noto Sans CJK SC" w:hAnsi="Noto Sans CJK SC" w:eastAsia="Noto Sans CJK SC"/>
          <w:b w:val="0"/>
          <w:color w:val="5A5A5A"/>
          <w:sz w:val="25"/>
        </w:rPr>
        <w:t>V0.2 | 应用优先交付版</w:t>
      </w:r>
    </w:p>
    <w:tbl>
      <w:tblPr>
        <w:tblStyle w:val="TableGrid"/>
        <w:tblW w:type="auto" w:w="0"/>
        <w:jc w:val="center"/>
        <w:tblLook w:firstColumn="1" w:firstRow="1" w:lastColumn="0" w:lastRow="0" w:noHBand="0" w:noVBand="1" w:val="04A0"/>
      </w:tblPr>
      <w:tblGrid>
        <w:gridCol w:w="4748"/>
        <w:gridCol w:w="4748"/>
      </w:tblGrid>
      <w:tr>
        <w:tc>
          <w:tcPr>
            <w:tcW w:type="dxa" w:w="1814"/>
            <w:tcMar>
              <w:top w:w="120" w:type="dxa"/>
              <w:start w:w="140" w:type="dxa"/>
              <w:bottom w:w="120" w:type="dxa"/>
              <w:end w:w="140" w:type="dxa"/>
            </w:tcMar>
            <w:shd w:fill="EAF3F8" w:val="clear"/>
            <w:vAlign w:val="center"/>
          </w:tcPr>
          <w:p>
            <w:pPr>
              <w:spacing w:after="0"/>
            </w:pPr>
            <w:r>
              <w:rPr>
                <w:rFonts w:ascii="Noto Sans CJK SC" w:hAnsi="Noto Sans CJK SC" w:eastAsia="Noto Sans CJK SC"/>
                <w:b/>
                <w:color w:val="1F4E78"/>
                <w:sz w:val="19"/>
              </w:rPr>
              <w:t>文档定位</w:t>
            </w:r>
          </w:p>
        </w:tc>
        <w:tc>
          <w:tcPr>
            <w:tcW w:type="dxa" w:w="7257"/>
            <w:tcMar>
              <w:top w:w="120" w:type="dxa"/>
              <w:start w:w="140" w:type="dxa"/>
              <w:bottom w:w="120" w:type="dxa"/>
              <w:end w:w="140" w:type="dxa"/>
            </w:tcMar>
            <w:shd w:fill="FFFFFF" w:val="clear"/>
            <w:vAlign w:val="center"/>
          </w:tcPr>
          <w:p>
            <w:pPr>
              <w:spacing w:after="0"/>
            </w:pPr>
            <w:r>
              <w:rPr>
                <w:rFonts w:ascii="Noto Sans CJK SC" w:hAnsi="Noto Sans CJK SC" w:eastAsia="Noto Sans CJK SC"/>
                <w:b w:val="0"/>
                <w:sz w:val="19"/>
              </w:rPr>
              <w:t>用于软件公司进行系统设计、排期、报价与应用开发验收。</w:t>
            </w:r>
          </w:p>
        </w:tc>
      </w:tr>
      <w:tr>
        <w:tc>
          <w:tcPr>
            <w:tcW w:type="dxa" w:w="1814"/>
            <w:tcMar>
              <w:top w:w="120" w:type="dxa"/>
              <w:start w:w="140" w:type="dxa"/>
              <w:bottom w:w="120" w:type="dxa"/>
              <w:end w:w="140" w:type="dxa"/>
            </w:tcMar>
            <w:shd w:fill="EAF3F8" w:val="clear"/>
            <w:vAlign w:val="center"/>
          </w:tcPr>
          <w:p>
            <w:pPr>
              <w:spacing w:after="0"/>
            </w:pPr>
            <w:r>
              <w:rPr>
                <w:rFonts w:ascii="Noto Sans CJK SC" w:hAnsi="Noto Sans CJK SC" w:eastAsia="Noto Sans CJK SC"/>
                <w:b/>
                <w:color w:val="1F4E78"/>
                <w:sz w:val="19"/>
              </w:rPr>
              <w:t>建设重点</w:t>
            </w:r>
          </w:p>
        </w:tc>
        <w:tc>
          <w:tcPr>
            <w:tcW w:type="dxa" w:w="7257"/>
            <w:tcMar>
              <w:top w:w="120" w:type="dxa"/>
              <w:start w:w="140" w:type="dxa"/>
              <w:bottom w:w="120" w:type="dxa"/>
              <w:end w:w="140" w:type="dxa"/>
            </w:tcMar>
            <w:shd w:fill="FFFFFF" w:val="clear"/>
            <w:vAlign w:val="center"/>
          </w:tcPr>
          <w:p>
            <w:pPr>
              <w:spacing w:after="0"/>
            </w:pPr>
            <w:r>
              <w:rPr>
                <w:rFonts w:ascii="Noto Sans CJK SC" w:hAnsi="Noto Sans CJK SC" w:eastAsia="Noto Sans CJK SC"/>
                <w:b w:val="0"/>
                <w:sz w:val="19"/>
              </w:rPr>
              <w:t>RPKI/ROA 管理、BGP 路由安全监测、前缀劫持检测、良性冲突识别、ROV 策略模拟与处置闭环。</w:t>
            </w:r>
          </w:p>
        </w:tc>
      </w:tr>
      <w:tr>
        <w:tc>
          <w:tcPr>
            <w:tcW w:type="dxa" w:w="1814"/>
            <w:tcMar>
              <w:top w:w="120" w:type="dxa"/>
              <w:start w:w="140" w:type="dxa"/>
              <w:bottom w:w="120" w:type="dxa"/>
              <w:end w:w="140" w:type="dxa"/>
            </w:tcMar>
            <w:shd w:fill="EAF3F8" w:val="clear"/>
            <w:vAlign w:val="center"/>
          </w:tcPr>
          <w:p>
            <w:pPr>
              <w:spacing w:after="0"/>
            </w:pPr>
            <w:r>
              <w:rPr>
                <w:rFonts w:ascii="Noto Sans CJK SC" w:hAnsi="Noto Sans CJK SC" w:eastAsia="Noto Sans CJK SC"/>
                <w:b/>
                <w:color w:val="1F4E78"/>
                <w:sz w:val="19"/>
              </w:rPr>
              <w:t>当前阶段原则</w:t>
            </w:r>
          </w:p>
        </w:tc>
        <w:tc>
          <w:tcPr>
            <w:tcW w:type="dxa" w:w="7257"/>
            <w:tcMar>
              <w:top w:w="120" w:type="dxa"/>
              <w:start w:w="140" w:type="dxa"/>
              <w:bottom w:w="120" w:type="dxa"/>
              <w:end w:w="140" w:type="dxa"/>
            </w:tcMar>
            <w:shd w:fill="FFFFFF" w:val="clear"/>
            <w:vAlign w:val="center"/>
          </w:tcPr>
          <w:p>
            <w:pPr>
              <w:spacing w:after="0"/>
            </w:pPr>
            <w:r>
              <w:rPr>
                <w:rFonts w:ascii="Noto Sans CJK SC" w:hAnsi="Noto Sans CJK SC" w:eastAsia="Noto Sans CJK SC"/>
                <w:b w:val="0"/>
                <w:sz w:val="19"/>
              </w:rPr>
              <w:t>优先建设和交付可部署、可运行、可验证的平台应用；文档类、培训类与管理类产出不在本需求文档定义范围内。</w:t>
            </w:r>
          </w:p>
        </w:tc>
      </w:tr>
      <w:tr>
        <w:tc>
          <w:tcPr>
            <w:tcW w:type="dxa" w:w="1814"/>
            <w:tcMar>
              <w:top w:w="120" w:type="dxa"/>
              <w:start w:w="140" w:type="dxa"/>
              <w:bottom w:w="120" w:type="dxa"/>
              <w:end w:w="140" w:type="dxa"/>
            </w:tcMar>
            <w:shd w:fill="EAF3F8" w:val="clear"/>
            <w:vAlign w:val="center"/>
          </w:tcPr>
          <w:p>
            <w:pPr>
              <w:spacing w:after="0"/>
            </w:pPr>
            <w:r>
              <w:rPr>
                <w:rFonts w:ascii="Noto Sans CJK SC" w:hAnsi="Noto Sans CJK SC" w:eastAsia="Noto Sans CJK SC"/>
                <w:b/>
                <w:color w:val="1F4E78"/>
                <w:sz w:val="19"/>
              </w:rPr>
              <w:t>版本状态</w:t>
            </w:r>
          </w:p>
        </w:tc>
        <w:tc>
          <w:tcPr>
            <w:tcW w:type="dxa" w:w="7257"/>
            <w:tcMar>
              <w:top w:w="120" w:type="dxa"/>
              <w:start w:w="140" w:type="dxa"/>
              <w:bottom w:w="120" w:type="dxa"/>
              <w:end w:w="140" w:type="dxa"/>
            </w:tcMar>
            <w:shd w:fill="FFFFFF" w:val="clear"/>
            <w:vAlign w:val="center"/>
          </w:tcPr>
          <w:p>
            <w:pPr>
              <w:spacing w:after="0"/>
            </w:pPr>
            <w:r>
              <w:rPr>
                <w:rFonts w:ascii="Noto Sans CJK SC" w:hAnsi="Noto Sans CJK SC" w:eastAsia="Noto Sans CJK SC"/>
                <w:b w:val="0"/>
                <w:sz w:val="19"/>
              </w:rPr>
              <w:t>项目需求草案，可作为后续原型设计、技术方案与开发合同的输入。</w:t>
            </w:r>
          </w:p>
        </w:tc>
      </w:tr>
    </w:tbl>
    <w:p>
      <w:pPr>
        <w:spacing w:before="600"/>
        <w:jc w:val="center"/>
      </w:pPr>
      <w:r>
        <w:rPr>
          <w:rFonts w:ascii="Noto Sans CJK SC" w:hAnsi="Noto Sans CJK SC" w:eastAsia="Noto Sans CJK SC"/>
          <w:b w:val="0"/>
          <w:color w:val="5A5A5A"/>
          <w:sz w:val="19"/>
        </w:rPr>
        <w:t>日期：2026 年 6 月</w:t>
      </w:r>
    </w:p>
    <w:p>
      <w:r>
        <w:br w:type="page"/>
      </w:r>
    </w:p>
    <w:p>
      <w:pPr>
        <w:pStyle w:val="Heading1"/>
        <w:spacing w:before="260" w:after="100"/>
      </w:pPr>
      <w:r>
        <w:rPr>
          <w:rFonts w:ascii="Noto Serif CJK SC" w:hAnsi="Noto Serif CJK SC" w:eastAsia="Noto Serif CJK SC"/>
          <w:b/>
          <w:color w:val="1F4E78"/>
          <w:sz w:val="30"/>
        </w:rPr>
        <w:t>修订说明</w:t>
      </w:r>
    </w:p>
    <w:tbl>
      <w:tblPr>
        <w:tblStyle w:val="TableGrid"/>
        <w:tblW w:type="auto" w:w="0"/>
        <w:jc w:val="center"/>
        <w:tblLook w:firstColumn="1" w:firstRow="1" w:lastColumn="0" w:lastRow="0" w:noHBand="0" w:noVBand="1" w:val="04A0"/>
      </w:tblPr>
      <w:tblGrid>
        <w:gridCol w:w="3165"/>
        <w:gridCol w:w="3165"/>
        <w:gridCol w:w="3165"/>
      </w:tblGrid>
      <w:tr>
        <w:trPr>
          <w:trHeight w:hRule="atLeast"/>
          <w:tblHeader w:val="true"/>
        </w:trPr>
        <w:tc>
          <w:tcPr>
            <w:tcW w:type="dxa" w:w="1361"/>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版本</w:t>
            </w:r>
          </w:p>
        </w:tc>
        <w:tc>
          <w:tcPr>
            <w:tcW w:type="dxa" w:w="5102"/>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调整重点</w:t>
            </w:r>
          </w:p>
        </w:tc>
        <w:tc>
          <w:tcPr>
            <w:tcW w:type="dxa" w:w="2608"/>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适用范围</w:t>
            </w:r>
          </w:p>
        </w:tc>
      </w:tr>
      <w:tr>
        <w:tc>
          <w:tcPr>
            <w:tcW w:type="dxa" w:w="1361"/>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V0.2</w:t>
            </w:r>
          </w:p>
        </w:tc>
        <w:tc>
          <w:tcPr>
            <w:tcW w:type="dxa" w:w="5102"/>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在 V0.1 的基础上，明确“应用先落地”的建设原则；移除说明书、培训材料、详细设计等文档类交付要求。</w:t>
            </w:r>
          </w:p>
        </w:tc>
        <w:tc>
          <w:tcPr>
            <w:tcW w:type="dxa" w:w="260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本版本用于平台应用开发、测试、部署和验收。</w:t>
            </w:r>
          </w:p>
        </w:tc>
      </w:tr>
    </w:tbl>
    <w:p>
      <w:pPr>
        <w:spacing w:after="20"/>
      </w:pPr>
    </w:p>
    <w:tbl>
      <w:tblPr>
        <w:tblW w:type="auto" w:w="0"/>
        <w:jc w:val="center"/>
        <w:tblLook w:firstColumn="1" w:firstRow="1" w:lastColumn="0" w:lastRow="0" w:noHBand="0" w:noVBand="1" w:val="04A0"/>
      </w:tblPr>
      <w:tblGrid>
        <w:gridCol w:w="9496"/>
      </w:tblGrid>
      <w:tr>
        <w:tc>
          <w:tcPr>
            <w:tcW w:type="dxa" w:w="9496"/>
            <w:shd w:fill="FFF4E5" w:val="clear"/>
            <w:tcMar>
              <w:top w:w="140" w:type="dxa"/>
              <w:start w:w="160" w:type="dxa"/>
              <w:bottom w:w="140" w:type="dxa"/>
              <w:end w:w="160" w:type="dxa"/>
            </w:tcMar>
            <w:tcBorders>
              <w:top w:val="single" w:sz="9" w:color="5B9BD5"/>
              <w:left w:val="single" w:sz="9" w:color="5B9BD5"/>
              <w:bottom w:val="single" w:sz="9" w:color="5B9BD5"/>
              <w:right w:val="single" w:sz="9" w:color="5B9BD5"/>
            </w:tcBorders>
          </w:tcPr>
          <w:p>
            <w:pPr>
              <w:spacing w:after="40"/>
            </w:pPr>
            <w:r>
              <w:rPr>
                <w:rFonts w:ascii="Noto Sans CJK SC" w:hAnsi="Noto Sans CJK SC" w:eastAsia="Noto Sans CJK SC"/>
                <w:b/>
                <w:color w:val="1F4E78"/>
                <w:sz w:val="21"/>
              </w:rPr>
              <w:t xml:space="preserve">建设约束  </w:t>
            </w:r>
            <w:r>
              <w:rPr>
                <w:rFonts w:ascii="Noto Sans CJK SC" w:hAnsi="Noto Sans CJK SC" w:eastAsia="Noto Sans CJK SC"/>
                <w:b w:val="0"/>
                <w:sz w:val="20"/>
              </w:rPr>
              <w:t>本项目按大型企业级系统进行工程化建设。百万行级属于系统复杂度和工程规模定位，不是通过重复代码、空壳模块或无业务价值功能堆砌实现的硬性行数指标。</w:t>
            </w:r>
          </w:p>
        </w:tc>
      </w:tr>
    </w:tbl>
    <w:p>
      <w:pPr>
        <w:spacing w:after="20"/>
      </w:pPr>
    </w:p>
    <w:p>
      <w:pPr>
        <w:pStyle w:val="Heading1"/>
        <w:spacing w:before="260" w:after="100"/>
      </w:pPr>
      <w:r>
        <w:rPr>
          <w:rFonts w:ascii="Noto Serif CJK SC" w:hAnsi="Noto Serif CJK SC" w:eastAsia="Noto Serif CJK SC"/>
          <w:b/>
          <w:color w:val="1F4E78"/>
          <w:sz w:val="30"/>
        </w:rPr>
        <w:t>目录</w:t>
      </w:r>
    </w:p>
    <w:p>
      <w:pPr>
        <w:spacing w:after="40"/>
      </w:pPr>
      <w:r>
        <w:rPr>
          <w:rFonts w:ascii="Noto Sans CJK SC" w:hAnsi="Noto Sans CJK SC" w:eastAsia="Noto Sans CJK SC"/>
          <w:b w:val="0"/>
          <w:color w:val="35536A"/>
          <w:sz w:val="20"/>
        </w:rPr>
        <w:t>1. 项目定位与建设目标</w:t>
      </w:r>
    </w:p>
    <w:p>
      <w:pPr>
        <w:spacing w:after="40"/>
      </w:pPr>
      <w:r>
        <w:rPr>
          <w:rFonts w:ascii="Noto Sans CJK SC" w:hAnsi="Noto Sans CJK SC" w:eastAsia="Noto Sans CJK SC"/>
          <w:b w:val="0"/>
          <w:color w:val="35536A"/>
          <w:sz w:val="20"/>
        </w:rPr>
        <w:t>2. 当前阶段范围与非目标</w:t>
      </w:r>
    </w:p>
    <w:p>
      <w:pPr>
        <w:spacing w:after="40"/>
      </w:pPr>
      <w:r>
        <w:rPr>
          <w:rFonts w:ascii="Noto Sans CJK SC" w:hAnsi="Noto Sans CJK SC" w:eastAsia="Noto Sans CJK SC"/>
          <w:b w:val="0"/>
          <w:color w:val="35536A"/>
          <w:sz w:val="20"/>
        </w:rPr>
        <w:t>3. 用户角色与使用场景</w:t>
      </w:r>
    </w:p>
    <w:p>
      <w:pPr>
        <w:spacing w:after="40"/>
      </w:pPr>
      <w:r>
        <w:rPr>
          <w:rFonts w:ascii="Noto Sans CJK SC" w:hAnsi="Noto Sans CJK SC" w:eastAsia="Noto Sans CJK SC"/>
          <w:b w:val="0"/>
          <w:color w:val="35536A"/>
          <w:sz w:val="20"/>
        </w:rPr>
        <w:t>4. 总体架构与部署要求</w:t>
      </w:r>
    </w:p>
    <w:p>
      <w:pPr>
        <w:spacing w:after="40"/>
      </w:pPr>
      <w:r>
        <w:rPr>
          <w:rFonts w:ascii="Noto Sans CJK SC" w:hAnsi="Noto Sans CJK SC" w:eastAsia="Noto Sans CJK SC"/>
          <w:b w:val="0"/>
          <w:color w:val="35536A"/>
          <w:sz w:val="20"/>
        </w:rPr>
        <w:t>5. 核心功能需求</w:t>
      </w:r>
    </w:p>
    <w:p>
      <w:pPr>
        <w:spacing w:after="40"/>
      </w:pPr>
      <w:r>
        <w:rPr>
          <w:rFonts w:ascii="Noto Sans CJK SC" w:hAnsi="Noto Sans CJK SC" w:eastAsia="Noto Sans CJK SC"/>
          <w:b w:val="0"/>
          <w:color w:val="35536A"/>
          <w:sz w:val="20"/>
        </w:rPr>
        <w:t>6. 检测、评分与处置规则</w:t>
      </w:r>
    </w:p>
    <w:p>
      <w:pPr>
        <w:spacing w:after="40"/>
      </w:pPr>
      <w:r>
        <w:rPr>
          <w:rFonts w:ascii="Noto Sans CJK SC" w:hAnsi="Noto Sans CJK SC" w:eastAsia="Noto Sans CJK SC"/>
          <w:b w:val="0"/>
          <w:color w:val="35536A"/>
          <w:sz w:val="20"/>
        </w:rPr>
        <w:t>7. 数据模型与数据治理要求</w:t>
      </w:r>
    </w:p>
    <w:p>
      <w:pPr>
        <w:spacing w:after="40"/>
      </w:pPr>
      <w:r>
        <w:rPr>
          <w:rFonts w:ascii="Noto Sans CJK SC" w:hAnsi="Noto Sans CJK SC" w:eastAsia="Noto Sans CJK SC"/>
          <w:b w:val="0"/>
          <w:color w:val="35536A"/>
          <w:sz w:val="20"/>
        </w:rPr>
        <w:t>8. 开放接口与集成能力</w:t>
      </w:r>
    </w:p>
    <w:p>
      <w:pPr>
        <w:spacing w:after="40"/>
      </w:pPr>
      <w:r>
        <w:rPr>
          <w:rFonts w:ascii="Noto Sans CJK SC" w:hAnsi="Noto Sans CJK SC" w:eastAsia="Noto Sans CJK SC"/>
          <w:b w:val="0"/>
          <w:color w:val="35536A"/>
          <w:sz w:val="20"/>
        </w:rPr>
        <w:t>9. 非功能需求</w:t>
      </w:r>
    </w:p>
    <w:p>
      <w:pPr>
        <w:spacing w:after="40"/>
      </w:pPr>
      <w:r>
        <w:rPr>
          <w:rFonts w:ascii="Noto Sans CJK SC" w:hAnsi="Noto Sans CJK SC" w:eastAsia="Noto Sans CJK SC"/>
          <w:b w:val="0"/>
          <w:color w:val="35536A"/>
          <w:sz w:val="20"/>
        </w:rPr>
        <w:t>10. 分期建设与优先级</w:t>
      </w:r>
    </w:p>
    <w:p>
      <w:pPr>
        <w:spacing w:after="40"/>
      </w:pPr>
      <w:r>
        <w:rPr>
          <w:rFonts w:ascii="Noto Sans CJK SC" w:hAnsi="Noto Sans CJK SC" w:eastAsia="Noto Sans CJK SC"/>
          <w:b w:val="0"/>
          <w:color w:val="35536A"/>
          <w:sz w:val="20"/>
        </w:rPr>
        <w:t>11. 应用验收标准</w:t>
      </w:r>
    </w:p>
    <w:p>
      <w:pPr>
        <w:spacing w:after="40"/>
      </w:pPr>
      <w:r>
        <w:rPr>
          <w:rFonts w:ascii="Noto Sans CJK SC" w:hAnsi="Noto Sans CJK SC" w:eastAsia="Noto Sans CJK SC"/>
          <w:b w:val="0"/>
          <w:color w:val="35536A"/>
          <w:sz w:val="20"/>
        </w:rPr>
        <w:t>12. 关键风险与约束</w:t>
      </w:r>
    </w:p>
    <w:p>
      <w:r>
        <w:br w:type="page"/>
      </w:r>
    </w:p>
    <w:p>
      <w:pPr>
        <w:pStyle w:val="Heading1"/>
        <w:spacing w:before="260" w:after="100"/>
      </w:pPr>
      <w:r>
        <w:rPr>
          <w:rFonts w:ascii="Noto Serif CJK SC" w:hAnsi="Noto Serif CJK SC" w:eastAsia="Noto Serif CJK SC"/>
          <w:b/>
          <w:color w:val="1F4E78"/>
          <w:sz w:val="30"/>
        </w:rPr>
        <w:t>1. 项目定位与建设目标</w:t>
      </w:r>
    </w:p>
    <w:p>
      <w:pPr>
        <w:spacing w:after="100" w:line="324" w:lineRule="auto"/>
      </w:pPr>
      <w:r>
        <w:rPr>
          <w:rFonts w:ascii="Noto Sans CJK SC" w:hAnsi="Noto Sans CJK SC" w:eastAsia="Noto Sans CJK SC"/>
          <w:b w:val="0"/>
          <w:sz w:val="21"/>
        </w:rPr>
        <w:t>本项目建设一套面向大型企业、运营商、IDC、云服务商、CDN、金融机构及复杂多 AS 网络组织的企业级 RPKI 网络安全管理平台。平台围绕“资源资产管理—RPKI 验证—BGP 观测—风险检测—ROA 管理—策略模拟—事件处置—审计治理”构建统一能力。</w:t>
      </w:r>
    </w:p>
    <w:p>
      <w:pPr>
        <w:spacing w:after="100" w:line="324" w:lineRule="auto"/>
      </w:pPr>
      <w:r>
        <w:rPr>
          <w:rFonts w:ascii="Noto Sans CJK SC" w:hAnsi="Noto Sans CJK SC" w:eastAsia="Noto Sans CJK SC"/>
          <w:b w:val="0"/>
          <w:sz w:val="21"/>
        </w:rPr>
        <w:t>平台不应被定义为单一 ROA 查询工具或单一 BGP 告警系统，而应成为企业路由安全治理的统一控制与分析中枢。</w:t>
      </w:r>
    </w:p>
    <w:p>
      <w:pPr>
        <w:pStyle w:val="Heading2"/>
        <w:spacing w:before="180" w:after="100"/>
      </w:pPr>
      <w:r>
        <w:rPr>
          <w:rFonts w:ascii="Noto Sans CJK SC" w:hAnsi="Noto Sans CJK SC" w:eastAsia="Noto Sans CJK SC"/>
          <w:b/>
          <w:color w:val="1F4E78"/>
          <w:sz w:val="24"/>
        </w:rPr>
        <w:t>1.1 建设目标</w:t>
      </w:r>
    </w:p>
    <w:p>
      <w:pPr>
        <w:pStyle w:val="ListBullet"/>
        <w:spacing w:after="60" w:line="312" w:lineRule="auto"/>
      </w:pPr>
      <w:r>
        <w:rPr>
          <w:rFonts w:ascii="Noto Sans CJK SC" w:hAnsi="Noto Sans CJK SC" w:eastAsia="Noto Sans CJK SC"/>
          <w:b w:val="0"/>
          <w:sz w:val="20"/>
        </w:rPr>
        <w:t>建立企业 IP 前缀、ASN、ROA、IRR、BGP 邻居、上游/下游与业务系统之间的统一资源画像。</w:t>
      </w:r>
    </w:p>
    <w:p>
      <w:pPr>
        <w:pStyle w:val="ListBullet"/>
        <w:spacing w:after="60" w:line="312" w:lineRule="auto"/>
      </w:pPr>
      <w:r>
        <w:rPr>
          <w:rFonts w:ascii="Noto Sans CJK SC" w:hAnsi="Noto Sans CJK SC" w:eastAsia="Noto Sans CJK SC"/>
          <w:b w:val="0"/>
          <w:sz w:val="20"/>
        </w:rPr>
        <w:t>实现对企业自有及受托管理前缀的近实时 BGP 公告监控、RPKI 验证和风险识别。</w:t>
      </w:r>
    </w:p>
    <w:p>
      <w:pPr>
        <w:pStyle w:val="ListBullet"/>
        <w:spacing w:after="60" w:line="312" w:lineRule="auto"/>
      </w:pPr>
      <w:r>
        <w:rPr>
          <w:rFonts w:ascii="Noto Sans CJK SC" w:hAnsi="Noto Sans CJK SC" w:eastAsia="Noto Sans CJK SC"/>
          <w:b w:val="0"/>
          <w:sz w:val="20"/>
        </w:rPr>
        <w:t>实现 BGP 前缀劫持、子前缀劫持、异常 origin AS、MOAS 异常、路由泄露、AS_PATH 异常和大范围撤路检测。</w:t>
      </w:r>
    </w:p>
    <w:p>
      <w:pPr>
        <w:pStyle w:val="ListBullet"/>
        <w:spacing w:after="60" w:line="312" w:lineRule="auto"/>
      </w:pPr>
      <w:r>
        <w:rPr>
          <w:rFonts w:ascii="Noto Sans CJK SC" w:hAnsi="Noto Sans CJK SC" w:eastAsia="Noto Sans CJK SC"/>
          <w:b w:val="0"/>
          <w:sz w:val="20"/>
        </w:rPr>
        <w:t>实现 ROA 全生命周期管理，包括查询、创建建议、变更影响评估、撤销风险分析、冲突检测和审批控制。</w:t>
      </w:r>
    </w:p>
    <w:p>
      <w:pPr>
        <w:pStyle w:val="ListBullet"/>
        <w:spacing w:after="60" w:line="312" w:lineRule="auto"/>
      </w:pPr>
      <w:r>
        <w:rPr>
          <w:rFonts w:ascii="Noto Sans CJK SC" w:hAnsi="Noto Sans CJK SC" w:eastAsia="Noto Sans CJK SC"/>
          <w:b w:val="0"/>
          <w:sz w:val="20"/>
        </w:rPr>
        <w:t>识别 ROA 与 BGP 状态的良性冲突、配置错误、数据源不同步和真实攻击，降低误报并增强解释能力。</w:t>
      </w:r>
    </w:p>
    <w:p>
      <w:pPr>
        <w:pStyle w:val="ListBullet"/>
        <w:spacing w:after="60" w:line="312" w:lineRule="auto"/>
      </w:pPr>
      <w:r>
        <w:rPr>
          <w:rFonts w:ascii="Noto Sans CJK SC" w:hAnsi="Noto Sans CJK SC" w:eastAsia="Noto Sans CJK SC"/>
          <w:b w:val="0"/>
          <w:sz w:val="20"/>
        </w:rPr>
        <w:t>支持 RPKI-RTR 服务、ROV 策略模拟和多厂商设备接入，推动验证能力进入生产网络。</w:t>
      </w:r>
    </w:p>
    <w:p>
      <w:pPr>
        <w:pStyle w:val="ListBullet"/>
        <w:spacing w:after="60" w:line="312" w:lineRule="auto"/>
      </w:pPr>
      <w:r>
        <w:rPr>
          <w:rFonts w:ascii="Noto Sans CJK SC" w:hAnsi="Noto Sans CJK SC" w:eastAsia="Noto Sans CJK SC"/>
          <w:b w:val="0"/>
          <w:sz w:val="20"/>
        </w:rPr>
        <w:t>形成告警、证据、工单、处置、验证与复盘的闭环，提升路由安全运营效率。</w:t>
      </w:r>
    </w:p>
    <w:p>
      <w:pPr>
        <w:pStyle w:val="Heading2"/>
        <w:spacing w:before="180" w:after="100"/>
      </w:pPr>
      <w:r>
        <w:rPr>
          <w:rFonts w:ascii="Noto Sans CJK SC" w:hAnsi="Noto Sans CJK SC" w:eastAsia="Noto Sans CJK SC"/>
          <w:b/>
          <w:color w:val="1F4E78"/>
          <w:sz w:val="24"/>
        </w:rPr>
        <w:t>1.2 核心价值</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1701"/>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价值方向</w:t>
            </w:r>
          </w:p>
        </w:tc>
        <w:tc>
          <w:tcPr>
            <w:tcW w:type="dxa" w:w="7370"/>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平台输出</w:t>
            </w:r>
          </w:p>
        </w:tc>
      </w:tr>
      <w:tr>
        <w:tc>
          <w:tcPr>
            <w:tcW w:type="dxa" w:w="1701"/>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可见性</w:t>
            </w:r>
          </w:p>
        </w:tc>
        <w:tc>
          <w:tcPr>
            <w:tcW w:type="dxa" w:w="7370"/>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统一查看前缀、ASN、ROA、VRP、BGP 公告、路径传播与风险状态。</w:t>
            </w:r>
          </w:p>
        </w:tc>
      </w:tr>
      <w:tr>
        <w:tc>
          <w:tcPr>
            <w:tcW w:type="dxa" w:w="1701"/>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防护性</w:t>
            </w:r>
          </w:p>
        </w:tc>
        <w:tc>
          <w:tcPr>
            <w:tcW w:type="dxa" w:w="7370"/>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识别前缀劫持、子前缀劫持、未授权 origin、过宽 maxLength 与路由泄露风险。</w:t>
            </w:r>
          </w:p>
        </w:tc>
      </w:tr>
      <w:tr>
        <w:tc>
          <w:tcPr>
            <w:tcW w:type="dxa" w:w="1701"/>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可控性</w:t>
            </w:r>
          </w:p>
        </w:tc>
        <w:tc>
          <w:tcPr>
            <w:tcW w:type="dxa" w:w="7370"/>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在 ROA 或路由策略变更前模拟影响，避免合法流量被误杀。</w:t>
            </w:r>
          </w:p>
        </w:tc>
      </w:tr>
      <w:tr>
        <w:tc>
          <w:tcPr>
            <w:tcW w:type="dxa" w:w="1701"/>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可运营性</w:t>
            </w:r>
          </w:p>
        </w:tc>
        <w:tc>
          <w:tcPr>
            <w:tcW w:type="dxa" w:w="7370"/>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通过告警分级、良性冲突识别、自动取证、处置建议和审计记录实现长期运营。</w:t>
            </w:r>
          </w:p>
        </w:tc>
      </w:tr>
      <w:tr>
        <w:tc>
          <w:tcPr>
            <w:tcW w:type="dxa" w:w="1701"/>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可扩展性</w:t>
            </w:r>
          </w:p>
        </w:tc>
        <w:tc>
          <w:tcPr>
            <w:tcW w:type="dxa" w:w="7370"/>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预留 ASPA、路径验证、BGPsec、图分析、自动化响应与多租户能力。</w:t>
            </w:r>
          </w:p>
        </w:tc>
      </w:tr>
    </w:tbl>
    <w:p>
      <w:pPr>
        <w:spacing w:after="20"/>
      </w:pPr>
    </w:p>
    <w:p>
      <w:pPr>
        <w:pStyle w:val="Heading1"/>
        <w:spacing w:before="260" w:after="100"/>
      </w:pPr>
      <w:r>
        <w:rPr>
          <w:rFonts w:ascii="Noto Serif CJK SC" w:hAnsi="Noto Serif CJK SC" w:eastAsia="Noto Serif CJK SC"/>
          <w:b/>
          <w:color w:val="1F4E78"/>
          <w:sz w:val="30"/>
        </w:rPr>
        <w:t>2. 当前阶段范围与非目标</w:t>
      </w:r>
    </w:p>
    <w:tbl>
      <w:tblPr>
        <w:tblW w:type="auto" w:w="0"/>
        <w:jc w:val="center"/>
        <w:tblLook w:firstColumn="1" w:firstRow="1" w:lastColumn="0" w:lastRow="0" w:noHBand="0" w:noVBand="1" w:val="04A0"/>
      </w:tblPr>
      <w:tblGrid>
        <w:gridCol w:w="9496"/>
      </w:tblGrid>
      <w:tr>
        <w:tc>
          <w:tcPr>
            <w:tcW w:type="dxa" w:w="9496"/>
            <w:shd w:fill="EAF3F8" w:val="clear"/>
            <w:tcMar>
              <w:top w:w="140" w:type="dxa"/>
              <w:start w:w="160" w:type="dxa"/>
              <w:bottom w:w="140" w:type="dxa"/>
              <w:end w:w="160" w:type="dxa"/>
            </w:tcMar>
            <w:tcBorders>
              <w:top w:val="single" w:sz="9" w:color="5B9BD5"/>
              <w:left w:val="single" w:sz="9" w:color="5B9BD5"/>
              <w:bottom w:val="single" w:sz="9" w:color="5B9BD5"/>
              <w:right w:val="single" w:sz="9" w:color="5B9BD5"/>
            </w:tcBorders>
          </w:tcPr>
          <w:p>
            <w:pPr>
              <w:spacing w:after="40"/>
            </w:pPr>
            <w:r>
              <w:rPr>
                <w:rFonts w:ascii="Noto Sans CJK SC" w:hAnsi="Noto Sans CJK SC" w:eastAsia="Noto Sans CJK SC"/>
                <w:b/>
                <w:color w:val="1F4E78"/>
                <w:sz w:val="21"/>
              </w:rPr>
              <w:t xml:space="preserve">当前阶段范围  </w:t>
            </w:r>
            <w:r>
              <w:rPr>
                <w:rFonts w:ascii="Noto Sans CJK SC" w:hAnsi="Noto Sans CJK SC" w:eastAsia="Noto Sans CJK SC"/>
                <w:b w:val="0"/>
                <w:sz w:val="20"/>
              </w:rPr>
              <w:t>当前阶段只定义可运行应用的功能、部署、接口、数据、测试与验收要求。文档类、培训类、项目管理类产出不属于本需求文档中的交付范围。</w:t>
            </w:r>
          </w:p>
        </w:tc>
      </w:tr>
    </w:tbl>
    <w:p>
      <w:pPr>
        <w:spacing w:after="20"/>
      </w:pPr>
    </w:p>
    <w:p>
      <w:pPr>
        <w:pStyle w:val="Heading2"/>
        <w:spacing w:before="180" w:after="100"/>
      </w:pPr>
      <w:r>
        <w:rPr>
          <w:rFonts w:ascii="Noto Sans CJK SC" w:hAnsi="Noto Sans CJK SC" w:eastAsia="Noto Sans CJK SC"/>
          <w:b/>
          <w:color w:val="1F4E78"/>
          <w:sz w:val="24"/>
        </w:rPr>
        <w:t>2.1 纳入范围</w:t>
      </w:r>
    </w:p>
    <w:p>
      <w:pPr>
        <w:pStyle w:val="ListBullet"/>
        <w:spacing w:after="60" w:line="312" w:lineRule="auto"/>
      </w:pPr>
      <w:r>
        <w:rPr>
          <w:rFonts w:ascii="Noto Sans CJK SC" w:hAnsi="Noto Sans CJK SC" w:eastAsia="Noto Sans CJK SC"/>
          <w:b w:val="0"/>
          <w:sz w:val="20"/>
        </w:rPr>
        <w:t>企业 IP/ASN/BGP/ROA 资产管理。</w:t>
      </w:r>
    </w:p>
    <w:p>
      <w:pPr>
        <w:pStyle w:val="ListBullet"/>
        <w:spacing w:after="60" w:line="312" w:lineRule="auto"/>
      </w:pPr>
      <w:r>
        <w:rPr>
          <w:rFonts w:ascii="Noto Sans CJK SC" w:hAnsi="Noto Sans CJK SC" w:eastAsia="Noto Sans CJK SC"/>
          <w:b w:val="0"/>
          <w:sz w:val="20"/>
        </w:rPr>
        <w:t>RPKI 信任锚与仓库同步、RPKI 对象验证、VRP 生成和验证状态服务。</w:t>
      </w:r>
    </w:p>
    <w:p>
      <w:pPr>
        <w:pStyle w:val="ListBullet"/>
        <w:spacing w:after="60" w:line="312" w:lineRule="auto"/>
      </w:pPr>
      <w:r>
        <w:rPr>
          <w:rFonts w:ascii="Noto Sans CJK SC" w:hAnsi="Noto Sans CJK SC" w:eastAsia="Noto Sans CJK SC"/>
          <w:b w:val="0"/>
          <w:sz w:val="20"/>
        </w:rPr>
        <w:t>外部与内部 BGP 数据接入、解析、存储、查询和关联分析。</w:t>
      </w:r>
    </w:p>
    <w:p>
      <w:pPr>
        <w:pStyle w:val="ListBullet"/>
        <w:spacing w:after="60" w:line="312" w:lineRule="auto"/>
      </w:pPr>
      <w:r>
        <w:rPr>
          <w:rFonts w:ascii="Noto Sans CJK SC" w:hAnsi="Noto Sans CJK SC" w:eastAsia="Noto Sans CJK SC"/>
          <w:b w:val="0"/>
          <w:sz w:val="20"/>
        </w:rPr>
        <w:t>前缀劫持、子前缀劫持、MOAS、异常 origin、路径异常、路由泄露和撤路事件检测。</w:t>
      </w:r>
    </w:p>
    <w:p>
      <w:pPr>
        <w:pStyle w:val="ListBullet"/>
        <w:spacing w:after="60" w:line="312" w:lineRule="auto"/>
      </w:pPr>
      <w:r>
        <w:rPr>
          <w:rFonts w:ascii="Noto Sans CJK SC" w:hAnsi="Noto Sans CJK SC" w:eastAsia="Noto Sans CJK SC"/>
          <w:b w:val="0"/>
          <w:sz w:val="20"/>
        </w:rPr>
        <w:t>ROA 查询、创建建议、变更与撤销影响分析、maxLength 风险检查和良性冲突识别。</w:t>
      </w:r>
    </w:p>
    <w:p>
      <w:pPr>
        <w:pStyle w:val="ListBullet"/>
        <w:spacing w:after="60" w:line="312" w:lineRule="auto"/>
      </w:pPr>
      <w:r>
        <w:rPr>
          <w:rFonts w:ascii="Noto Sans CJK SC" w:hAnsi="Noto Sans CJK SC" w:eastAsia="Noto Sans CJK SC"/>
          <w:b w:val="0"/>
          <w:sz w:val="20"/>
        </w:rPr>
        <w:t>ROV 策略模拟、RPKI-RTR 服务、告警处置、审计记录、可视化驾驶舱、开放接口和集成能力。</w:t>
      </w:r>
    </w:p>
    <w:p>
      <w:pPr>
        <w:pStyle w:val="Heading2"/>
        <w:spacing w:before="180" w:after="100"/>
      </w:pPr>
      <w:r>
        <w:rPr>
          <w:rFonts w:ascii="Noto Sans CJK SC" w:hAnsi="Noto Sans CJK SC" w:eastAsia="Noto Sans CJK SC"/>
          <w:b/>
          <w:color w:val="1F4E78"/>
          <w:sz w:val="24"/>
        </w:rPr>
        <w:t>2.2 当前阶段非目标</w:t>
      </w:r>
    </w:p>
    <w:p>
      <w:pPr>
        <w:pStyle w:val="ListBullet"/>
        <w:spacing w:after="60" w:line="312" w:lineRule="auto"/>
      </w:pPr>
      <w:r>
        <w:rPr>
          <w:rFonts w:ascii="Noto Sans CJK SC" w:hAnsi="Noto Sans CJK SC" w:eastAsia="Noto Sans CJK SC"/>
          <w:b w:val="0"/>
          <w:sz w:val="20"/>
        </w:rPr>
        <w:t>不替代 RIR/NIR 官方 CA 或官方资源管理系统。</w:t>
      </w:r>
    </w:p>
    <w:p>
      <w:pPr>
        <w:pStyle w:val="ListBullet"/>
        <w:spacing w:after="60" w:line="312" w:lineRule="auto"/>
      </w:pPr>
      <w:r>
        <w:rPr>
          <w:rFonts w:ascii="Noto Sans CJK SC" w:hAnsi="Noto Sans CJK SC" w:eastAsia="Noto Sans CJK SC"/>
          <w:b w:val="0"/>
          <w:sz w:val="20"/>
        </w:rPr>
        <w:t>不直接承担路由器 BGP 转发功能。</w:t>
      </w:r>
    </w:p>
    <w:p>
      <w:pPr>
        <w:pStyle w:val="ListBullet"/>
        <w:spacing w:after="60" w:line="312" w:lineRule="auto"/>
      </w:pPr>
      <w:r>
        <w:rPr>
          <w:rFonts w:ascii="Noto Sans CJK SC" w:hAnsi="Noto Sans CJK SC" w:eastAsia="Noto Sans CJK SC"/>
          <w:b w:val="0"/>
          <w:sz w:val="20"/>
        </w:rPr>
        <w:t>不默认对生产路由器执行自动变更；任何生产变更必须受权限、审批和回滚约束。</w:t>
      </w:r>
    </w:p>
    <w:p>
      <w:pPr>
        <w:pStyle w:val="ListBullet"/>
        <w:spacing w:after="60" w:line="312" w:lineRule="auto"/>
      </w:pPr>
      <w:r>
        <w:rPr>
          <w:rFonts w:ascii="Noto Sans CJK SC" w:hAnsi="Noto Sans CJK SC" w:eastAsia="Noto Sans CJK SC"/>
          <w:b w:val="0"/>
          <w:sz w:val="20"/>
        </w:rPr>
        <w:t>不承诺消除全部 BGP 安全风险；平台目标是提升发现、验证、管理、响应与治理能力。</w:t>
      </w:r>
    </w:p>
    <w:p>
      <w:pPr>
        <w:pStyle w:val="ListBullet"/>
        <w:spacing w:after="60" w:line="312" w:lineRule="auto"/>
      </w:pPr>
      <w:r>
        <w:rPr>
          <w:rFonts w:ascii="Noto Sans CJK SC" w:hAnsi="Noto Sans CJK SC" w:eastAsia="Noto Sans CJK SC"/>
          <w:b w:val="0"/>
          <w:sz w:val="20"/>
        </w:rPr>
        <w:t>ASPA、BGPsec、复杂路径验证作为扩展预留能力，不作为 V1 上线阻塞条件。</w:t>
      </w:r>
    </w:p>
    <w:p>
      <w:pPr>
        <w:pStyle w:val="Heading1"/>
        <w:spacing w:before="260" w:after="100"/>
      </w:pPr>
      <w:r>
        <w:rPr>
          <w:rFonts w:ascii="Noto Serif CJK SC" w:hAnsi="Noto Serif CJK SC" w:eastAsia="Noto Serif CJK SC"/>
          <w:b/>
          <w:color w:val="1F4E78"/>
          <w:sz w:val="30"/>
        </w:rPr>
        <w:t>3. 用户角色与使用场景</w:t>
      </w:r>
    </w:p>
    <w:tbl>
      <w:tblPr>
        <w:tblStyle w:val="TableGrid"/>
        <w:tblW w:type="auto" w:w="0"/>
        <w:jc w:val="center"/>
        <w:tblLook w:firstColumn="1" w:firstRow="1" w:lastColumn="0" w:lastRow="0" w:noHBand="0" w:noVBand="1" w:val="04A0"/>
      </w:tblPr>
      <w:tblGrid>
        <w:gridCol w:w="3165"/>
        <w:gridCol w:w="3165"/>
        <w:gridCol w:w="3165"/>
      </w:tblGrid>
      <w:tr>
        <w:trPr>
          <w:trHeight w:hRule="atLeast"/>
          <w:tblHeader w:val="true"/>
        </w:trPr>
        <w:tc>
          <w:tcPr>
            <w:tcW w:type="dxa" w:w="1417"/>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角色</w:t>
            </w:r>
          </w:p>
        </w:tc>
        <w:tc>
          <w:tcPr>
            <w:tcW w:type="dxa" w:w="2835"/>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核心职责</w:t>
            </w:r>
          </w:p>
        </w:tc>
        <w:tc>
          <w:tcPr>
            <w:tcW w:type="dxa" w:w="4819"/>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关键操作</w:t>
            </w:r>
          </w:p>
        </w:tc>
      </w:tr>
      <w:tr>
        <w:tc>
          <w:tcPr>
            <w:tcW w:type="dxa" w:w="141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超级管理员</w:t>
            </w:r>
          </w:p>
        </w:tc>
        <w:tc>
          <w:tcPr>
            <w:tcW w:type="dxa" w:w="2835"/>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平台治理与安全控制</w:t>
            </w:r>
          </w:p>
        </w:tc>
        <w:tc>
          <w:tcPr>
            <w:tcW w:type="dxa" w:w="4819"/>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租户、权限、系统配置、全局审计</w:t>
            </w:r>
          </w:p>
        </w:tc>
      </w:tr>
      <w:tr>
        <w:tc>
          <w:tcPr>
            <w:tcW w:type="dxa" w:w="141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网络管理员</w:t>
            </w:r>
          </w:p>
        </w:tc>
        <w:tc>
          <w:tcPr>
            <w:tcW w:type="dxa" w:w="2835"/>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网络资源与设备管理</w:t>
            </w:r>
          </w:p>
        </w:tc>
        <w:tc>
          <w:tcPr>
            <w:tcW w:type="dxa" w:w="4819"/>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管理前缀、ASN、BGP 邻居、设备接入、策略模拟</w:t>
            </w:r>
          </w:p>
        </w:tc>
      </w:tr>
      <w:tr>
        <w:tc>
          <w:tcPr>
            <w:tcW w:type="dxa" w:w="141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RPKI 管理员</w:t>
            </w:r>
          </w:p>
        </w:tc>
        <w:tc>
          <w:tcPr>
            <w:tcW w:type="dxa" w:w="2835"/>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RPKI 与 ROA 管理</w:t>
            </w:r>
          </w:p>
        </w:tc>
        <w:tc>
          <w:tcPr>
            <w:tcW w:type="dxa" w:w="4819"/>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查看/生成 ROA 建议、变更评估、审批、RTR 服务管理</w:t>
            </w:r>
          </w:p>
        </w:tc>
      </w:tr>
      <w:tr>
        <w:tc>
          <w:tcPr>
            <w:tcW w:type="dxa" w:w="141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NOC 值班人员</w:t>
            </w:r>
          </w:p>
        </w:tc>
        <w:tc>
          <w:tcPr>
            <w:tcW w:type="dxa" w:w="2835"/>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实时监控与初步处置</w:t>
            </w:r>
          </w:p>
        </w:tc>
        <w:tc>
          <w:tcPr>
            <w:tcW w:type="dxa" w:w="4819"/>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确认告警、查看证据、创建/分派事件、执行应急剧本</w:t>
            </w:r>
          </w:p>
        </w:tc>
      </w:tr>
      <w:tr>
        <w:tc>
          <w:tcPr>
            <w:tcW w:type="dxa" w:w="141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安全分析师</w:t>
            </w:r>
          </w:p>
        </w:tc>
        <w:tc>
          <w:tcPr>
            <w:tcW w:type="dxa" w:w="2835"/>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风险研判与复盘</w:t>
            </w:r>
          </w:p>
        </w:tc>
        <w:tc>
          <w:tcPr>
            <w:tcW w:type="dxa" w:w="4819"/>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分析劫持/泄露、判断良性冲突、追踪传播范围、风险定级</w:t>
            </w:r>
          </w:p>
        </w:tc>
      </w:tr>
      <w:tr>
        <w:tc>
          <w:tcPr>
            <w:tcW w:type="dxa" w:w="141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审批人</w:t>
            </w:r>
          </w:p>
        </w:tc>
        <w:tc>
          <w:tcPr>
            <w:tcW w:type="dxa" w:w="2835"/>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高风险变更控制</w:t>
            </w:r>
          </w:p>
        </w:tc>
        <w:tc>
          <w:tcPr>
            <w:tcW w:type="dxa" w:w="4819"/>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审批核心前缀、origin AS、maxLength、撤销等变更</w:t>
            </w:r>
          </w:p>
        </w:tc>
      </w:tr>
      <w:tr>
        <w:tc>
          <w:tcPr>
            <w:tcW w:type="dxa" w:w="141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客户/业务方</w:t>
            </w:r>
          </w:p>
        </w:tc>
        <w:tc>
          <w:tcPr>
            <w:tcW w:type="dxa" w:w="2835"/>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资源与影响查看</w:t>
            </w:r>
          </w:p>
        </w:tc>
        <w:tc>
          <w:tcPr>
            <w:tcW w:type="dxa" w:w="4819"/>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查看自身前缀健康度、告警、影响范围和处置进度</w:t>
            </w:r>
          </w:p>
        </w:tc>
      </w:tr>
      <w:tr>
        <w:tc>
          <w:tcPr>
            <w:tcW w:type="dxa" w:w="141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API 服务账号</w:t>
            </w:r>
          </w:p>
        </w:tc>
        <w:tc>
          <w:tcPr>
            <w:tcW w:type="dxa" w:w="2835"/>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系统间集成</w:t>
            </w:r>
          </w:p>
        </w:tc>
        <w:tc>
          <w:tcPr>
            <w:tcW w:type="dxa" w:w="4819"/>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调用查询、同步资产、接收 Webhook、触发自动化流程</w:t>
            </w:r>
          </w:p>
        </w:tc>
      </w:tr>
    </w:tbl>
    <w:p>
      <w:pPr>
        <w:spacing w:after="20"/>
      </w:pPr>
    </w:p>
    <w:p>
      <w:pPr>
        <w:pStyle w:val="Heading2"/>
        <w:spacing w:before="180" w:after="100"/>
      </w:pPr>
      <w:r>
        <w:rPr>
          <w:rFonts w:ascii="Noto Sans CJK SC" w:hAnsi="Noto Sans CJK SC" w:eastAsia="Noto Sans CJK SC"/>
          <w:b/>
          <w:color w:val="1F4E78"/>
          <w:sz w:val="24"/>
        </w:rPr>
        <w:t>3.1 典型使用场景</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2268"/>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场景</w:t>
            </w:r>
          </w:p>
        </w:tc>
        <w:tc>
          <w:tcPr>
            <w:tcW w:type="dxa" w:w="6803"/>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平台应实现的结果</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核心前缀被异常 AS 宣告</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平台识别异常 origin AS 和传播范围，结合 ROA、资产授权、历史基线与变更窗口评估为高危事件，自动收集 AS_PATH、观察点与建议处置。</w:t>
            </w:r>
          </w:p>
        </w:tc>
      </w:tr>
      <w:tr>
        <w:tc>
          <w:tcPr>
            <w:tcW w:type="dxa" w:w="2268"/>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ROA 修改前评估</w:t>
            </w:r>
          </w:p>
        </w:tc>
        <w:tc>
          <w:tcPr>
            <w:tcW w:type="dxa" w:w="6803"/>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网络管理员修改 origin AS 或 maxLength 前，平台模拟受影响公告和潜在新增授权范围，阻止可能导致核心业务 Invalid 的变更。</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DDoS 清洗临时宣告</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清洗商 ASN 宣告客户前缀时，平台结合工单、合作方台账和时间窗口识别为疑似良性冲突，同时提示需要补齐临时授权或 ROA 设计。</w:t>
            </w:r>
          </w:p>
        </w:tc>
      </w:tr>
      <w:tr>
        <w:tc>
          <w:tcPr>
            <w:tcW w:type="dxa" w:w="2268"/>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部署 ROV</w:t>
            </w:r>
          </w:p>
        </w:tc>
        <w:tc>
          <w:tcPr>
            <w:tcW w:type="dxa" w:w="6803"/>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在生产路由器启用 drop-invalid 或 de-preference-invalid 前，平台将当前路由表按 Valid/Invalid/NotFound 分类，并给出影响清单。</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客户前缀治理</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平台发现已公告但无 ROA、IRR 与 BGP 不一致、maxLength 过宽或客户越权宣告等问题，形成客户治理待办。</w:t>
            </w:r>
          </w:p>
        </w:tc>
      </w:tr>
    </w:tbl>
    <w:p>
      <w:pPr>
        <w:spacing w:after="20"/>
      </w:pPr>
    </w:p>
    <w:p>
      <w:pPr>
        <w:pStyle w:val="Heading1"/>
        <w:spacing w:before="260" w:after="100"/>
      </w:pPr>
      <w:r>
        <w:rPr>
          <w:rFonts w:ascii="Noto Serif CJK SC" w:hAnsi="Noto Serif CJK SC" w:eastAsia="Noto Serif CJK SC"/>
          <w:b/>
          <w:color w:val="1F4E78"/>
          <w:sz w:val="30"/>
        </w:rPr>
        <w:t>4. 总体架构与部署要求</w:t>
      </w:r>
    </w:p>
    <w:p>
      <w:pPr>
        <w:spacing w:after="100" w:line="324" w:lineRule="auto"/>
      </w:pPr>
      <w:r>
        <w:rPr>
          <w:rFonts w:ascii="Noto Sans CJK SC" w:hAnsi="Noto Sans CJK SC" w:eastAsia="Noto Sans CJK SC"/>
          <w:b w:val="0"/>
          <w:sz w:val="21"/>
        </w:rPr>
        <w:t>平台应采用分层、模块化、可水平扩展的企业级架构。核心业务能力应以领域服务或清晰模块边界实现，避免前后端、检测规则、数据源适配和设备适配的强耦合。</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2268"/>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架构层</w:t>
            </w:r>
          </w:p>
        </w:tc>
        <w:tc>
          <w:tcPr>
            <w:tcW w:type="dxa" w:w="6803"/>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主要职责</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数据采集层</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接入 RPKI 仓库、RTR、BGP 流、MRT、BMP、路由器遥测、IRR、IPAM、CMDB、工单等数据。</w:t>
            </w:r>
          </w:p>
        </w:tc>
      </w:tr>
      <w:tr>
        <w:tc>
          <w:tcPr>
            <w:tcW w:type="dxa" w:w="2268"/>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消息与流处理层</w:t>
            </w:r>
          </w:p>
        </w:tc>
        <w:tc>
          <w:tcPr>
            <w:tcW w:type="dxa" w:w="6803"/>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高吞吐事件接入、去重、聚合、流式分析、异步任务和事件分发。</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验证与分析层</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RPKI 对象验证、VRP 计算、前缀树匹配、BGP 异常检测、路径分析、评分与规则执行。</w:t>
            </w:r>
          </w:p>
        </w:tc>
      </w:tr>
      <w:tr>
        <w:tc>
          <w:tcPr>
            <w:tcW w:type="dxa" w:w="2268"/>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业务服务层</w:t>
            </w:r>
          </w:p>
        </w:tc>
        <w:tc>
          <w:tcPr>
            <w:tcW w:type="dxa" w:w="6803"/>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资产、ROA、BGP、告警、事件、审批、报表、审计、RTR、API 等服务。</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存储层</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关系型事务数据、时序事件、列式分析数据、图关系、对象快照、缓存。</w:t>
            </w:r>
          </w:p>
        </w:tc>
      </w:tr>
      <w:tr>
        <w:tc>
          <w:tcPr>
            <w:tcW w:type="dxa" w:w="2268"/>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应用层</w:t>
            </w:r>
          </w:p>
        </w:tc>
        <w:tc>
          <w:tcPr>
            <w:tcW w:type="dxa" w:w="6803"/>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Web 控制台、运营大屏、客户门户、API/SDK、Webhook 与设备配置模板。</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运维与安全层</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认证授权、配置中心、监控、日志、链路追踪、备份恢复、灰度发布与密钥管理。</w:t>
            </w:r>
          </w:p>
        </w:tc>
      </w:tr>
    </w:tbl>
    <w:p>
      <w:pPr>
        <w:spacing w:after="20"/>
      </w:pPr>
    </w:p>
    <w:p>
      <w:pPr>
        <w:pStyle w:val="Heading2"/>
        <w:spacing w:before="180" w:after="100"/>
      </w:pPr>
      <w:r>
        <w:rPr>
          <w:rFonts w:ascii="Noto Sans CJK SC" w:hAnsi="Noto Sans CJK SC" w:eastAsia="Noto Sans CJK SC"/>
          <w:b/>
          <w:color w:val="1F4E78"/>
          <w:sz w:val="24"/>
        </w:rPr>
        <w:t>4.1 部署形态</w:t>
      </w:r>
    </w:p>
    <w:p>
      <w:pPr>
        <w:pStyle w:val="ListBullet"/>
        <w:spacing w:after="60" w:line="312" w:lineRule="auto"/>
      </w:pPr>
      <w:r>
        <w:rPr>
          <w:rFonts w:ascii="Noto Sans CJK SC" w:hAnsi="Noto Sans CJK SC" w:eastAsia="Noto Sans CJK SC"/>
          <w:b w:val="0"/>
          <w:sz w:val="20"/>
        </w:rPr>
        <w:t>支持单企业私有化部署、集团多租户部署、MSSP 托管部署、Kubernetes 云原生部署、内网半离线部署与混合云部署。</w:t>
      </w:r>
    </w:p>
    <w:p>
      <w:pPr>
        <w:pStyle w:val="ListBullet"/>
        <w:spacing w:after="60" w:line="312" w:lineRule="auto"/>
      </w:pPr>
      <w:r>
        <w:rPr>
          <w:rFonts w:ascii="Noto Sans CJK SC" w:hAnsi="Noto Sans CJK SC" w:eastAsia="Noto Sans CJK SC"/>
          <w:b w:val="0"/>
          <w:sz w:val="20"/>
        </w:rPr>
        <w:t>支持主备、同城双活、异地灾备和组件级水平扩展。</w:t>
      </w:r>
    </w:p>
    <w:p>
      <w:pPr>
        <w:pStyle w:val="ListBullet"/>
        <w:spacing w:after="60" w:line="312" w:lineRule="auto"/>
      </w:pPr>
      <w:r>
        <w:rPr>
          <w:rFonts w:ascii="Noto Sans CJK SC" w:hAnsi="Noto Sans CJK SC" w:eastAsia="Noto Sans CJK SC"/>
          <w:b w:val="0"/>
          <w:sz w:val="20"/>
        </w:rPr>
        <w:t>支持核心服务和 RTR 服务独立伸缩；RPKI 验证、BGP 流处理、分析查询应支持按工作负载分别扩容。</w:t>
      </w:r>
    </w:p>
    <w:p>
      <w:pPr>
        <w:pStyle w:val="ListBullet"/>
        <w:spacing w:after="60" w:line="312" w:lineRule="auto"/>
      </w:pPr>
      <w:r>
        <w:rPr>
          <w:rFonts w:ascii="Noto Sans CJK SC" w:hAnsi="Noto Sans CJK SC" w:eastAsia="Noto Sans CJK SC"/>
          <w:b w:val="0"/>
          <w:sz w:val="20"/>
        </w:rPr>
        <w:t>支持配置隔离、租户隔离、数据留存策略和多环境（开发/测试/预生产/生产）发布管理。</w:t>
      </w:r>
    </w:p>
    <w:p>
      <w:pPr>
        <w:pStyle w:val="Heading1"/>
        <w:spacing w:before="260" w:after="100"/>
      </w:pPr>
      <w:r>
        <w:rPr>
          <w:rFonts w:ascii="Noto Serif CJK SC" w:hAnsi="Noto Serif CJK SC" w:eastAsia="Noto Serif CJK SC"/>
          <w:b/>
          <w:color w:val="1F4E78"/>
          <w:sz w:val="30"/>
        </w:rPr>
        <w:t>5. 核心功能需求</w:t>
      </w:r>
    </w:p>
    <w:p>
      <w:pPr>
        <w:pStyle w:val="Heading2"/>
        <w:spacing w:before="180" w:after="100"/>
      </w:pPr>
      <w:r>
        <w:rPr>
          <w:rFonts w:ascii="Noto Sans CJK SC" w:hAnsi="Noto Sans CJK SC" w:eastAsia="Noto Sans CJK SC"/>
          <w:b/>
          <w:color w:val="1F4E78"/>
          <w:sz w:val="24"/>
        </w:rPr>
        <w:t>5.1 资源资产管理</w:t>
      </w:r>
    </w:p>
    <w:p>
      <w:pPr>
        <w:spacing w:after="100" w:line="324" w:lineRule="auto"/>
      </w:pPr>
      <w:r>
        <w:rPr>
          <w:rFonts w:ascii="Noto Sans CJK SC" w:hAnsi="Noto Sans CJK SC" w:eastAsia="Noto Sans CJK SC"/>
          <w:b w:val="0"/>
          <w:sz w:val="21"/>
        </w:rPr>
        <w:t>平台应统一管理企业自有、租用、托管或受托管理的 IPv4/IPv6 前缀与 ASN，并建立其与业务、ROA、BGP、IRR、设备、上游、客户和事件的关系。</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1984"/>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功能项</w:t>
            </w:r>
          </w:p>
        </w:tc>
        <w:tc>
          <w:tcPr>
            <w:tcW w:type="dxa" w:w="7087"/>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需求</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IP 前缀管理</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支持 CIDR 层级、父子前缀、聚合/拆分、标签、业务归属、地域、机房、云区域、客户、重要等级、生命周期状态与批量导入。</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ASN 管理</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支持自有、客户、供应商、上游、对等、IXP、Route Server、清洗商等类型；维护联系人、NOC、应急联系方式、关系标签与风险画像。</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BGP 邻居管理</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维护 Peer IP、Remote AS、地址族、会话类型、路由策略、最大前缀数、会话状态及关联路由器。</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资产一致性检查</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识别 IPAM/CMDB 台账与实际 BGP、ROA、IRR 之间的不一致、重叠、越权、未登记与过期信息。</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关系视图</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提供前缀—ASN—ROA—BGP 路由—业务系统—事件的关联视图和拓扑展示。</w:t>
            </w:r>
          </w:p>
        </w:tc>
      </w:tr>
    </w:tbl>
    <w:p>
      <w:pPr>
        <w:spacing w:after="20"/>
      </w:pPr>
    </w:p>
    <w:p>
      <w:pPr>
        <w:pStyle w:val="Heading2"/>
        <w:spacing w:before="180" w:after="100"/>
      </w:pPr>
      <w:r>
        <w:rPr>
          <w:rFonts w:ascii="Noto Sans CJK SC" w:hAnsi="Noto Sans CJK SC" w:eastAsia="Noto Sans CJK SC"/>
          <w:b/>
          <w:color w:val="1F4E78"/>
          <w:sz w:val="24"/>
        </w:rPr>
        <w:t>5.2 RPKI 数据同步、验证与 VRP 服务</w:t>
      </w:r>
    </w:p>
    <w:p>
      <w:pPr>
        <w:pStyle w:val="ListBullet"/>
        <w:spacing w:after="60" w:line="312" w:lineRule="auto"/>
      </w:pPr>
      <w:r>
        <w:rPr>
          <w:rFonts w:ascii="Noto Sans CJK SC" w:hAnsi="Noto Sans CJK SC" w:eastAsia="Noto Sans CJK SC"/>
          <w:b w:val="0"/>
          <w:sz w:val="20"/>
        </w:rPr>
        <w:t>支持从全球 RPKI 信任锚和仓库同步数据，兼容 RRDP 与 rsync，支持 TAL 管理与同步健康检查。</w:t>
      </w:r>
    </w:p>
    <w:p>
      <w:pPr>
        <w:pStyle w:val="ListBullet"/>
        <w:spacing w:after="60" w:line="312" w:lineRule="auto"/>
      </w:pPr>
      <w:r>
        <w:rPr>
          <w:rFonts w:ascii="Noto Sans CJK SC" w:hAnsi="Noto Sans CJK SC" w:eastAsia="Noto Sans CJK SC"/>
          <w:b w:val="0"/>
          <w:sz w:val="20"/>
        </w:rPr>
        <w:t>支持 RPKI 对象解析和校验，包括证书、ROA、Manifest、CRL、Ghostbusters 等对象；支持签名链、有效期、资源范围与撤销状态校验。</w:t>
      </w:r>
    </w:p>
    <w:p>
      <w:pPr>
        <w:pStyle w:val="ListBullet"/>
        <w:spacing w:after="60" w:line="312" w:lineRule="auto"/>
      </w:pPr>
      <w:r>
        <w:rPr>
          <w:rFonts w:ascii="Noto Sans CJK SC" w:hAnsi="Noto Sans CJK SC" w:eastAsia="Noto Sans CJK SC"/>
          <w:b w:val="0"/>
          <w:sz w:val="20"/>
        </w:rPr>
        <w:t>支持多验证器并行运行与结果比对，发现对象、VRP 或状态不一致时触发告警。</w:t>
      </w:r>
    </w:p>
    <w:p>
      <w:pPr>
        <w:pStyle w:val="ListBullet"/>
        <w:spacing w:after="60" w:line="312" w:lineRule="auto"/>
      </w:pPr>
      <w:r>
        <w:rPr>
          <w:rFonts w:ascii="Noto Sans CJK SC" w:hAnsi="Noto Sans CJK SC" w:eastAsia="Noto Sans CJK SC"/>
          <w:b w:val="0"/>
          <w:sz w:val="20"/>
        </w:rPr>
        <w:t>支持依据已验证 ROA 生成 VRP，按 prefix、origin AS、maxLength、RIR/TAL、时间点进行高性能查询。</w:t>
      </w:r>
    </w:p>
    <w:p>
      <w:pPr>
        <w:pStyle w:val="ListBullet"/>
        <w:spacing w:after="60" w:line="312" w:lineRule="auto"/>
      </w:pPr>
      <w:r>
        <w:rPr>
          <w:rFonts w:ascii="Noto Sans CJK SC" w:hAnsi="Noto Sans CJK SC" w:eastAsia="Noto Sans CJK SC"/>
          <w:b w:val="0"/>
          <w:sz w:val="20"/>
        </w:rPr>
        <w:t>对任意 BGP 公告输出 Valid、Invalid、NotFound，并细分 Invalid 原因：origin AS 不匹配、长度超出 maxLength、ROA 撤销/失效、资源链异常或数据源异常。</w:t>
      </w:r>
    </w:p>
    <w:p>
      <w:pPr>
        <w:pStyle w:val="ListBullet"/>
        <w:spacing w:after="60" w:line="312" w:lineRule="auto"/>
      </w:pPr>
      <w:r>
        <w:rPr>
          <w:rFonts w:ascii="Noto Sans CJK SC" w:hAnsi="Noto Sans CJK SC" w:eastAsia="Noto Sans CJK SC"/>
          <w:b w:val="0"/>
          <w:sz w:val="20"/>
        </w:rPr>
        <w:t>支持 RPKI 数据快照、历史版本差异和稳定版本回滚。</w:t>
      </w:r>
    </w:p>
    <w:p>
      <w:pPr>
        <w:pStyle w:val="Heading2"/>
        <w:spacing w:before="180" w:after="100"/>
      </w:pPr>
      <w:r>
        <w:rPr>
          <w:rFonts w:ascii="Noto Sans CJK SC" w:hAnsi="Noto Sans CJK SC" w:eastAsia="Noto Sans CJK SC"/>
          <w:b/>
          <w:color w:val="1F4E78"/>
          <w:sz w:val="24"/>
        </w:rPr>
        <w:t>5.3 BGP 数据采集、解析与存储</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1984"/>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数据来源</w:t>
            </w:r>
          </w:p>
        </w:tc>
        <w:tc>
          <w:tcPr>
            <w:tcW w:type="dxa" w:w="7087"/>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功能要求</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外部 BGP 数据源</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接入 RIPE RIS、RouteViews、公开 Route Server、商业数据源或兼容数据接口；支持实时 update 流和 MRT/RIB 文件。</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内部网络数据源</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通过 BMP 采集 RIB/UPDATE；通过 SNMP、NETCONF、RESTCONF、gNMI 或 CLI 接入路由器与路由反射器状态。</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多厂商设备</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至少适配 Cisco、Juniper、Huawei、H3C、Arista、Nokia、FRRouting、BIRD、OpenBGPD 等主流环境。</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BGP 属性解析</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实时解析 announce、withdraw、AS_PATH、NEXT_HOP、COMMUNITY、Large Community、MED、LocalPref、时间戳与地址族。</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数据治理</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支持去重、聚合、归并、数据源可信度、延迟、覆盖范围统计，保留热数据与可追溯历史数据。</w:t>
            </w:r>
          </w:p>
        </w:tc>
      </w:tr>
    </w:tbl>
    <w:p>
      <w:pPr>
        <w:spacing w:after="20"/>
      </w:pPr>
    </w:p>
    <w:p>
      <w:pPr>
        <w:pStyle w:val="Heading2"/>
        <w:spacing w:before="180" w:after="100"/>
      </w:pPr>
      <w:r>
        <w:rPr>
          <w:rFonts w:ascii="Noto Sans CJK SC" w:hAnsi="Noto Sans CJK SC" w:eastAsia="Noto Sans CJK SC"/>
          <w:b/>
          <w:color w:val="1F4E78"/>
          <w:sz w:val="24"/>
        </w:rPr>
        <w:t>5.4 BGP 路由安全检测</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1984"/>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检测类型</w:t>
            </w:r>
          </w:p>
        </w:tc>
        <w:tc>
          <w:tcPr>
            <w:tcW w:type="dxa" w:w="7087"/>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最低能力要求</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源 AS 劫持</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识别非授权 origin AS 对企业前缀的公告，并关联 ROA、资产台账、历史基线与传播范围。</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子前缀劫持</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识别更具体前缀的异常公告，评估是否存在流量吸引风险与 ROA/maxLength 漏洞。</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MOAS 异常</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区分授权多 origin、Anycast、客户托管、清洗业务与未知双 origin。</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路由泄露</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结合上游/下游/对等关系、AS_PATH 模式与 ASPA 预留关系识别不合理传播。</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路径异常</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发现 AS_PATH 突变、异常中转 ASN、异常国家/区域传播、路径异常拉长或黑洞风险。</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撤路与震荡</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识别关键前缀大范围消失、频繁 announce/withdraw、前缀数突变和收敛异常。</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RPKI Invalid 传播</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统计 Invalid 路由被哪些观察点接收、传播或拒绝，反映真实影响面。</w:t>
            </w:r>
          </w:p>
        </w:tc>
      </w:tr>
    </w:tbl>
    <w:p>
      <w:pPr>
        <w:spacing w:after="20"/>
      </w:pPr>
    </w:p>
    <w:p>
      <w:pPr>
        <w:pStyle w:val="Heading2"/>
        <w:spacing w:before="180" w:after="100"/>
      </w:pPr>
      <w:r>
        <w:rPr>
          <w:rFonts w:ascii="Noto Sans CJK SC" w:hAnsi="Noto Sans CJK SC" w:eastAsia="Noto Sans CJK SC"/>
          <w:b/>
          <w:color w:val="1F4E78"/>
          <w:sz w:val="24"/>
        </w:rPr>
        <w:t>5.5 ROA 生命周期管理</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1984"/>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能力</w:t>
            </w:r>
          </w:p>
        </w:tc>
        <w:tc>
          <w:tcPr>
            <w:tcW w:type="dxa" w:w="7087"/>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需求</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ROA 查询与关联</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展示 prefix、origin AS、maxLength、状态、签发机构、有效期、历史版本，并关联实际 BGP 公告和 VRP。</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创建建议</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对已公告无 ROA、ROA 缺失、ROA 不匹配的前缀提出建议；优先使用 minimal ROA 原则。</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变更评估</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修改 prefix、origin AS、maxLength 或撤销 ROA 前，必须计算影响的 BGP 公告、业务、客户、观察点和验证状态。</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maxLength 风险检查</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识别过宽授权、未实际使用的子前缀授权、可能被利用的劫持面，并提出精确化建议。</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审批控制</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核心前缀、origin AS 变更、maxLength 放宽和撤销需分级审批；所有动作保留完整审计链。</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变更后验证</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ROA 发布/修改后自动验证 RPKI 仓库状态、VRP 变化和实际 BGP 状态。</w:t>
            </w:r>
          </w:p>
        </w:tc>
      </w:tr>
    </w:tbl>
    <w:p>
      <w:pPr>
        <w:spacing w:after="20"/>
      </w:pPr>
    </w:p>
    <w:p>
      <w:pPr>
        <w:pStyle w:val="Heading2"/>
        <w:spacing w:before="180" w:after="100"/>
      </w:pPr>
      <w:r>
        <w:rPr>
          <w:rFonts w:ascii="Noto Sans CJK SC" w:hAnsi="Noto Sans CJK SC" w:eastAsia="Noto Sans CJK SC"/>
          <w:b/>
          <w:color w:val="1F4E78"/>
          <w:sz w:val="24"/>
        </w:rPr>
        <w:t>5.6 ROA 良性冲突与配置错误识别</w:t>
      </w:r>
    </w:p>
    <w:p>
      <w:pPr>
        <w:spacing w:after="100" w:line="324" w:lineRule="auto"/>
      </w:pPr>
      <w:r>
        <w:rPr>
          <w:rFonts w:ascii="Noto Sans CJK SC" w:hAnsi="Noto Sans CJK SC" w:eastAsia="Noto Sans CJK SC"/>
          <w:b w:val="0"/>
          <w:sz w:val="21"/>
        </w:rPr>
        <w:t>平台必须区分“RPKI/BGP 表面不一致”与“真实攻击”。良性冲突识别只能降低误报优先级，不能替代安全验证。</w:t>
      </w:r>
    </w:p>
    <w:tbl>
      <w:tblPr>
        <w:tblStyle w:val="TableGrid"/>
        <w:tblW w:type="auto" w:w="0"/>
        <w:jc w:val="center"/>
        <w:tblLook w:firstColumn="1" w:firstRow="1" w:lastColumn="0" w:lastRow="0" w:noHBand="0" w:noVBand="1" w:val="04A0"/>
      </w:tblPr>
      <w:tblGrid>
        <w:gridCol w:w="3165"/>
        <w:gridCol w:w="3165"/>
        <w:gridCol w:w="3165"/>
      </w:tblGrid>
      <w:tr>
        <w:trPr>
          <w:trHeight w:hRule="atLeast"/>
          <w:tblHeader w:val="true"/>
        </w:trPr>
        <w:tc>
          <w:tcPr>
            <w:tcW w:type="dxa" w:w="1814"/>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典型场景</w:t>
            </w:r>
          </w:p>
        </w:tc>
        <w:tc>
          <w:tcPr>
            <w:tcW w:type="dxa" w:w="3515"/>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识别依据</w:t>
            </w:r>
          </w:p>
        </w:tc>
        <w:tc>
          <w:tcPr>
            <w:tcW w:type="dxa" w:w="3742"/>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输出</w:t>
            </w:r>
          </w:p>
        </w:tc>
      </w:tr>
      <w:tr>
        <w:tc>
          <w:tcPr>
            <w:tcW w:type="dxa" w:w="181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DDoS 清洗临时宣告</w:t>
            </w:r>
          </w:p>
        </w:tc>
        <w:tc>
          <w:tcPr>
            <w:tcW w:type="dxa" w:w="3515"/>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已登记清洗商 ASN、工单、授权时间窗、已知路径模式</w:t>
            </w:r>
          </w:p>
        </w:tc>
        <w:tc>
          <w:tcPr>
            <w:tcW w:type="dxa" w:w="3742"/>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疑似/已确认良性冲突；提示临时 ROA 或授权治理</w:t>
            </w:r>
          </w:p>
        </w:tc>
      </w:tr>
      <w:tr>
        <w:tc>
          <w:tcPr>
            <w:tcW w:type="dxa" w:w="181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Anycast 扩容</w:t>
            </w:r>
          </w:p>
        </w:tc>
        <w:tc>
          <w:tcPr>
            <w:tcW w:type="dxa" w:w="3515"/>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已登记节点 ASN、地域、业务标签、历史多 origin 模式</w:t>
            </w:r>
          </w:p>
        </w:tc>
        <w:tc>
          <w:tcPr>
            <w:tcW w:type="dxa" w:w="3742"/>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授权多 origin 或需补齐 ROA 的建议</w:t>
            </w:r>
          </w:p>
        </w:tc>
      </w:tr>
      <w:tr>
        <w:tc>
          <w:tcPr>
            <w:tcW w:type="dxa" w:w="181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计划内割接</w:t>
            </w:r>
          </w:p>
        </w:tc>
        <w:tc>
          <w:tcPr>
            <w:tcW w:type="dxa" w:w="3515"/>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变更窗口、审批记录、内部 BMP/RIB、业务变更记录</w:t>
            </w:r>
          </w:p>
        </w:tc>
        <w:tc>
          <w:tcPr>
            <w:tcW w:type="dxa" w:w="3742"/>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短时配置/变更异常；跟踪是否按窗口恢复</w:t>
            </w:r>
          </w:p>
        </w:tc>
      </w:tr>
      <w:tr>
        <w:tc>
          <w:tcPr>
            <w:tcW w:type="dxa" w:w="181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资源迁移/转让</w:t>
            </w:r>
          </w:p>
        </w:tc>
        <w:tc>
          <w:tcPr>
            <w:tcW w:type="dxa" w:w="3515"/>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IPAM/CMDB 状态、组织归属、历史 ROA、IRR 变化</w:t>
            </w:r>
          </w:p>
        </w:tc>
        <w:tc>
          <w:tcPr>
            <w:tcW w:type="dxa" w:w="3742"/>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资源迁移待治理或高风险异常</w:t>
            </w:r>
          </w:p>
        </w:tc>
      </w:tr>
      <w:tr>
        <w:tc>
          <w:tcPr>
            <w:tcW w:type="dxa" w:w="181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RPKI 数据源延迟</w:t>
            </w:r>
          </w:p>
        </w:tc>
        <w:tc>
          <w:tcPr>
            <w:tcW w:type="dxa" w:w="3515"/>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多验证器差异、同步状态、仓库对象时间戳</w:t>
            </w:r>
          </w:p>
        </w:tc>
        <w:tc>
          <w:tcPr>
            <w:tcW w:type="dxa" w:w="3742"/>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数据源不一致；延迟告警与复核</w:t>
            </w:r>
          </w:p>
        </w:tc>
      </w:tr>
      <w:tr>
        <w:tc>
          <w:tcPr>
            <w:tcW w:type="dxa" w:w="181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客户误配置</w:t>
            </w:r>
          </w:p>
        </w:tc>
        <w:tc>
          <w:tcPr>
            <w:tcW w:type="dxa" w:w="3515"/>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客户 ASN 授权边界、实际客户合同、BGP 记录</w:t>
            </w:r>
          </w:p>
        </w:tc>
        <w:tc>
          <w:tcPr>
            <w:tcW w:type="dxa" w:w="3742"/>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配置错误；生成修复待办与通知建议</w:t>
            </w:r>
          </w:p>
        </w:tc>
      </w:tr>
    </w:tbl>
    <w:p>
      <w:pPr>
        <w:spacing w:after="20"/>
      </w:pPr>
    </w:p>
    <w:p>
      <w:pPr>
        <w:pStyle w:val="Heading2"/>
        <w:spacing w:before="180" w:after="100"/>
      </w:pPr>
      <w:r>
        <w:rPr>
          <w:rFonts w:ascii="Noto Sans CJK SC" w:hAnsi="Noto Sans CJK SC" w:eastAsia="Noto Sans CJK SC"/>
          <w:b/>
          <w:color w:val="1F4E78"/>
          <w:sz w:val="24"/>
        </w:rPr>
        <w:t>5.7 ROV 策略模拟与变更影响评估</w:t>
      </w:r>
    </w:p>
    <w:p>
      <w:pPr>
        <w:pStyle w:val="ListBullet"/>
        <w:spacing w:after="60" w:line="312" w:lineRule="auto"/>
      </w:pPr>
      <w:r>
        <w:rPr>
          <w:rFonts w:ascii="Noto Sans CJK SC" w:hAnsi="Noto Sans CJK SC" w:eastAsia="Noto Sans CJK SC"/>
          <w:b w:val="0"/>
          <w:sz w:val="20"/>
        </w:rPr>
        <w:t>在启用 drop-invalid、de-preference-invalid 或其他验证策略前，对当前/历史路由表进行模拟，列出受影响前缀、路径、设备、业务和客户。</w:t>
      </w:r>
    </w:p>
    <w:p>
      <w:pPr>
        <w:pStyle w:val="ListBullet"/>
        <w:spacing w:after="60" w:line="312" w:lineRule="auto"/>
      </w:pPr>
      <w:r>
        <w:rPr>
          <w:rFonts w:ascii="Noto Sans CJK SC" w:hAnsi="Noto Sans CJK SC" w:eastAsia="Noto Sans CJK SC"/>
          <w:b w:val="0"/>
          <w:sz w:val="20"/>
        </w:rPr>
        <w:t>在创建、修改、撤销 ROA 或调整 maxLength 前，模拟 Valid/Invalid/NotFound 状态变化与新增攻击面。</w:t>
      </w:r>
    </w:p>
    <w:p>
      <w:pPr>
        <w:pStyle w:val="ListBullet"/>
        <w:spacing w:after="60" w:line="312" w:lineRule="auto"/>
      </w:pPr>
      <w:r>
        <w:rPr>
          <w:rFonts w:ascii="Noto Sans CJK SC" w:hAnsi="Noto Sans CJK SC" w:eastAsia="Noto Sans CJK SC"/>
          <w:b w:val="0"/>
          <w:sz w:val="20"/>
        </w:rPr>
        <w:t>支持按路由器、地域、机房、VRF、地址族、业务域和前缀重要性查看影响范围。</w:t>
      </w:r>
    </w:p>
    <w:p>
      <w:pPr>
        <w:pStyle w:val="ListBullet"/>
        <w:spacing w:after="60" w:line="312" w:lineRule="auto"/>
      </w:pPr>
      <w:r>
        <w:rPr>
          <w:rFonts w:ascii="Noto Sans CJK SC" w:hAnsi="Noto Sans CJK SC" w:eastAsia="Noto Sans CJK SC"/>
          <w:b w:val="0"/>
          <w:sz w:val="20"/>
        </w:rPr>
        <w:t>输出分阶段部署建议：先监控、再降权、后拒收；对 NotFound 和疑似良性 Invalid 提供治理清单。</w:t>
      </w:r>
    </w:p>
    <w:p>
      <w:pPr>
        <w:pStyle w:val="ListBullet"/>
        <w:spacing w:after="60" w:line="312" w:lineRule="auto"/>
      </w:pPr>
      <w:r>
        <w:rPr>
          <w:rFonts w:ascii="Noto Sans CJK SC" w:hAnsi="Noto Sans CJK SC" w:eastAsia="Noto Sans CJK SC"/>
          <w:b w:val="0"/>
          <w:sz w:val="20"/>
        </w:rPr>
        <w:t>具备阻断机制：当变更会导致核心前缀或大规模合法路由变为 Invalid 时，应强制高风险提示与升级审批。</w:t>
      </w:r>
    </w:p>
    <w:p>
      <w:pPr>
        <w:pStyle w:val="Heading2"/>
        <w:spacing w:before="180" w:after="100"/>
      </w:pPr>
      <w:r>
        <w:rPr>
          <w:rFonts w:ascii="Noto Sans CJK SC" w:hAnsi="Noto Sans CJK SC" w:eastAsia="Noto Sans CJK SC"/>
          <w:b/>
          <w:color w:val="1F4E78"/>
          <w:sz w:val="24"/>
        </w:rPr>
        <w:t>5.8 RPKI-RTR 服务与设备集成</w:t>
      </w:r>
    </w:p>
    <w:p>
      <w:pPr>
        <w:pStyle w:val="ListBullet"/>
        <w:spacing w:after="60" w:line="312" w:lineRule="auto"/>
      </w:pPr>
      <w:r>
        <w:rPr>
          <w:rFonts w:ascii="Noto Sans CJK SC" w:hAnsi="Noto Sans CJK SC" w:eastAsia="Noto Sans CJK SC"/>
          <w:b w:val="0"/>
          <w:sz w:val="20"/>
        </w:rPr>
        <w:t>提供符合 RPKI-RTR 的服务能力，支持 Session ID、Serial Number、增量更新、会话监控、一致性检查、白名单、mTLS/访问控制和快照回滚。</w:t>
      </w:r>
    </w:p>
    <w:p>
      <w:pPr>
        <w:pStyle w:val="ListBullet"/>
        <w:spacing w:after="60" w:line="312" w:lineRule="auto"/>
      </w:pPr>
      <w:r>
        <w:rPr>
          <w:rFonts w:ascii="Noto Sans CJK SC" w:hAnsi="Noto Sans CJK SC" w:eastAsia="Noto Sans CJK SC"/>
          <w:b w:val="0"/>
          <w:sz w:val="20"/>
        </w:rPr>
        <w:t>支持多实例、高可用、负载均衡、多站点部署和 RTR 客户端连接状态监控。</w:t>
      </w:r>
    </w:p>
    <w:p>
      <w:pPr>
        <w:pStyle w:val="ListBullet"/>
        <w:spacing w:after="60" w:line="312" w:lineRule="auto"/>
      </w:pPr>
      <w:r>
        <w:rPr>
          <w:rFonts w:ascii="Noto Sans CJK SC" w:hAnsi="Noto Sans CJK SC" w:eastAsia="Noto Sans CJK SC"/>
          <w:b w:val="0"/>
          <w:sz w:val="20"/>
        </w:rPr>
        <w:t>提供至少覆盖 Cisco IOS XE/IOS XR、Juniper JunOS、Huawei VRP、H3C、Arista EOS、Nokia SR OS、FRRouting、BIRD、OpenBGPD 的配置生成能力或模板接口。</w:t>
      </w:r>
    </w:p>
    <w:p>
      <w:pPr>
        <w:pStyle w:val="ListBullet"/>
        <w:spacing w:after="60" w:line="312" w:lineRule="auto"/>
      </w:pPr>
      <w:r>
        <w:rPr>
          <w:rFonts w:ascii="Noto Sans CJK SC" w:hAnsi="Noto Sans CJK SC" w:eastAsia="Noto Sans CJK SC"/>
          <w:b w:val="0"/>
          <w:sz w:val="20"/>
        </w:rPr>
        <w:t>设备侧策略模板应覆盖 Valid、Invalid、NotFound 匹配、drop-invalid、de-preference-invalid、回滚和风险提示。</w:t>
      </w:r>
    </w:p>
    <w:p>
      <w:pPr>
        <w:pStyle w:val="Heading2"/>
        <w:spacing w:before="180" w:after="100"/>
      </w:pPr>
      <w:r>
        <w:rPr>
          <w:rFonts w:ascii="Noto Sans CJK SC" w:hAnsi="Noto Sans CJK SC" w:eastAsia="Noto Sans CJK SC"/>
          <w:b/>
          <w:color w:val="1F4E78"/>
          <w:sz w:val="24"/>
        </w:rPr>
        <w:t>5.9 告警、事件与处置闭环</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1701"/>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阶段</w:t>
            </w:r>
          </w:p>
        </w:tc>
        <w:tc>
          <w:tcPr>
            <w:tcW w:type="dxa" w:w="7370"/>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功能要求</w:t>
            </w:r>
          </w:p>
        </w:tc>
      </w:tr>
      <w:tr>
        <w:tc>
          <w:tcPr>
            <w:tcW w:type="dxa" w:w="1701"/>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发现</w:t>
            </w:r>
          </w:p>
        </w:tc>
        <w:tc>
          <w:tcPr>
            <w:tcW w:type="dxa" w:w="7370"/>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实时告警、规则匹配、事件去重、聚合与同源事件归并。</w:t>
            </w:r>
          </w:p>
        </w:tc>
      </w:tr>
      <w:tr>
        <w:tc>
          <w:tcPr>
            <w:tcW w:type="dxa" w:w="1701"/>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取证</w:t>
            </w:r>
          </w:p>
        </w:tc>
        <w:tc>
          <w:tcPr>
            <w:tcW w:type="dxa" w:w="7370"/>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自动收集 ROA/VRP、BGP 样本、AS_PATH、传播范围、观察点、资产关系、变更记录和历史基线。</w:t>
            </w:r>
          </w:p>
        </w:tc>
      </w:tr>
      <w:tr>
        <w:tc>
          <w:tcPr>
            <w:tcW w:type="dxa" w:w="1701"/>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定级</w:t>
            </w:r>
          </w:p>
        </w:tc>
        <w:tc>
          <w:tcPr>
            <w:tcW w:type="dxa" w:w="7370"/>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基于前缀重要性、RPKI 状态、传播规模、异常路径、变更窗口和良性冲突证据输出风险等级与置信度。</w:t>
            </w:r>
          </w:p>
        </w:tc>
      </w:tr>
      <w:tr>
        <w:tc>
          <w:tcPr>
            <w:tcW w:type="dxa" w:w="1701"/>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响应</w:t>
            </w:r>
          </w:p>
        </w:tc>
        <w:tc>
          <w:tcPr>
            <w:tcW w:type="dxa" w:w="7370"/>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支持确认、分派、升级、静默、维护窗口、Webhook、邮件、短信、企业协作工具和 ITSM/SOC 集成。</w:t>
            </w:r>
          </w:p>
        </w:tc>
      </w:tr>
      <w:tr>
        <w:tc>
          <w:tcPr>
            <w:tcW w:type="dxa" w:w="1701"/>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处置建议</w:t>
            </w:r>
          </w:p>
        </w:tc>
        <w:tc>
          <w:tcPr>
            <w:tcW w:type="dxa" w:w="7370"/>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提供联系异常 ASN/上游、修正 ROA、调整策略、发布更具体合法前缀、清洗联动、客户通知等建议。</w:t>
            </w:r>
          </w:p>
        </w:tc>
      </w:tr>
      <w:tr>
        <w:tc>
          <w:tcPr>
            <w:tcW w:type="dxa" w:w="1701"/>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关闭与复盘</w:t>
            </w:r>
          </w:p>
        </w:tc>
        <w:tc>
          <w:tcPr>
            <w:tcW w:type="dxa" w:w="7370"/>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确认恢复、记录根因、保留证据与操作链，沉淀为规则和案例库。</w:t>
            </w:r>
          </w:p>
        </w:tc>
      </w:tr>
    </w:tbl>
    <w:p>
      <w:pPr>
        <w:spacing w:after="20"/>
      </w:pPr>
    </w:p>
    <w:p>
      <w:pPr>
        <w:pStyle w:val="Heading2"/>
        <w:spacing w:before="180" w:after="100"/>
      </w:pPr>
      <w:r>
        <w:rPr>
          <w:rFonts w:ascii="Noto Sans CJK SC" w:hAnsi="Noto Sans CJK SC" w:eastAsia="Noto Sans CJK SC"/>
          <w:b/>
          <w:color w:val="1F4E78"/>
          <w:sz w:val="24"/>
        </w:rPr>
        <w:t>5.10 可视化与驾驶舱</w:t>
      </w:r>
    </w:p>
    <w:p>
      <w:pPr>
        <w:pStyle w:val="ListBullet"/>
        <w:spacing w:after="60" w:line="312" w:lineRule="auto"/>
      </w:pPr>
      <w:r>
        <w:rPr>
          <w:rFonts w:ascii="Noto Sans CJK SC" w:hAnsi="Noto Sans CJK SC" w:eastAsia="Noto Sans CJK SC"/>
          <w:b w:val="0"/>
          <w:sz w:val="20"/>
        </w:rPr>
        <w:t>总览展示企业 IP/ASN 数量、ROA 覆盖率、Valid/Invalid/NotFound 分布、P0/P1 事件、RPKI cache 状态、RTR 会话状态、BGP 数据源状态和风险趋势。</w:t>
      </w:r>
    </w:p>
    <w:p>
      <w:pPr>
        <w:pStyle w:val="ListBullet"/>
        <w:spacing w:after="60" w:line="312" w:lineRule="auto"/>
      </w:pPr>
      <w:r>
        <w:rPr>
          <w:rFonts w:ascii="Noto Sans CJK SC" w:hAnsi="Noto Sans CJK SC" w:eastAsia="Noto Sans CJK SC"/>
          <w:b w:val="0"/>
          <w:sz w:val="20"/>
        </w:rPr>
        <w:t>前缀详情展示资产属性、合法 origin、当前公告、AS_PATH、ROA/VRP 命中、IRR 信息、历史状态、告警、业务影响与操作建议。</w:t>
      </w:r>
    </w:p>
    <w:p>
      <w:pPr>
        <w:pStyle w:val="ListBullet"/>
        <w:spacing w:after="60" w:line="312" w:lineRule="auto"/>
      </w:pPr>
      <w:r>
        <w:rPr>
          <w:rFonts w:ascii="Noto Sans CJK SC" w:hAnsi="Noto Sans CJK SC" w:eastAsia="Noto Sans CJK SC"/>
          <w:b w:val="0"/>
          <w:sz w:val="20"/>
        </w:rPr>
        <w:t>ASN 详情展示关联前缀、上游/下游/对等关系、历史路径、异常记录、与本企业关系和风险画像。</w:t>
      </w:r>
    </w:p>
    <w:p>
      <w:pPr>
        <w:pStyle w:val="ListBullet"/>
        <w:spacing w:after="60" w:line="312" w:lineRule="auto"/>
      </w:pPr>
      <w:r>
        <w:rPr>
          <w:rFonts w:ascii="Noto Sans CJK SC" w:hAnsi="Noto Sans CJK SC" w:eastAsia="Noto Sans CJK SC"/>
          <w:b w:val="0"/>
          <w:sz w:val="20"/>
        </w:rPr>
        <w:t>事件详情应提供完整时间线：首次出现、传播变化、告警、人工确认、处置、恢复和关闭。</w:t>
      </w:r>
    </w:p>
    <w:p>
      <w:pPr>
        <w:pStyle w:val="Heading1"/>
        <w:spacing w:before="260" w:after="100"/>
      </w:pPr>
      <w:r>
        <w:rPr>
          <w:rFonts w:ascii="Noto Serif CJK SC" w:hAnsi="Noto Serif CJK SC" w:eastAsia="Noto Serif CJK SC"/>
          <w:b/>
          <w:color w:val="1F4E78"/>
          <w:sz w:val="30"/>
        </w:rPr>
        <w:t>6. 检测、评分与处置规则</w:t>
      </w:r>
    </w:p>
    <w:p>
      <w:pPr>
        <w:pStyle w:val="Heading2"/>
        <w:spacing w:before="180" w:after="100"/>
      </w:pPr>
      <w:r>
        <w:rPr>
          <w:rFonts w:ascii="Noto Sans CJK SC" w:hAnsi="Noto Sans CJK SC" w:eastAsia="Noto Sans CJK SC"/>
          <w:b/>
          <w:color w:val="1F4E78"/>
          <w:sz w:val="24"/>
        </w:rPr>
        <w:t>6.1 事件定级</w:t>
      </w:r>
    </w:p>
    <w:tbl>
      <w:tblPr>
        <w:tblStyle w:val="TableGrid"/>
        <w:tblW w:type="auto" w:w="0"/>
        <w:jc w:val="center"/>
        <w:tblLook w:firstColumn="1" w:firstRow="1" w:lastColumn="0" w:lastRow="0" w:noHBand="0" w:noVBand="1" w:val="04A0"/>
      </w:tblPr>
      <w:tblGrid>
        <w:gridCol w:w="3165"/>
        <w:gridCol w:w="3165"/>
        <w:gridCol w:w="3165"/>
      </w:tblGrid>
      <w:tr>
        <w:trPr>
          <w:trHeight w:hRule="atLeast"/>
          <w:tblHeader w:val="true"/>
        </w:trPr>
        <w:tc>
          <w:tcPr>
            <w:tcW w:type="dxa" w:w="1247"/>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等级</w:t>
            </w:r>
          </w:p>
        </w:tc>
        <w:tc>
          <w:tcPr>
            <w:tcW w:type="dxa" w:w="3969"/>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判定建议</w:t>
            </w:r>
          </w:p>
        </w:tc>
        <w:tc>
          <w:tcPr>
            <w:tcW w:type="dxa" w:w="3855"/>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处置要求</w:t>
            </w:r>
          </w:p>
        </w:tc>
      </w:tr>
      <w:tr>
        <w:tc>
          <w:tcPr>
            <w:tcW w:type="dxa" w:w="124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P0 严重</w:t>
            </w:r>
          </w:p>
        </w:tc>
        <w:tc>
          <w:tcPr>
            <w:tcW w:type="dxa" w:w="3969"/>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核心业务前缀被大范围劫持、子前缀劫持或疑似流量截获/黑洞。</w:t>
            </w:r>
          </w:p>
        </w:tc>
        <w:tc>
          <w:tcPr>
            <w:tcW w:type="dxa" w:w="3855"/>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即时通知、自动创建紧急事件、值班升级、启动应急预案。</w:t>
            </w:r>
          </w:p>
        </w:tc>
      </w:tr>
      <w:tr>
        <w:tc>
          <w:tcPr>
            <w:tcW w:type="dxa" w:w="124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P1 高危</w:t>
            </w:r>
          </w:p>
        </w:tc>
        <w:tc>
          <w:tcPr>
            <w:tcW w:type="dxa" w:w="3969"/>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重要前缀出现未授权 origin、明显路由泄露或 RPKI Invalid 大范围传播。</w:t>
            </w:r>
          </w:p>
        </w:tc>
        <w:tc>
          <w:tcPr>
            <w:tcW w:type="dxa" w:w="3855"/>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快速确认、责任人响应、执行修复或隔离动作。</w:t>
            </w:r>
          </w:p>
        </w:tc>
      </w:tr>
      <w:tr>
        <w:tc>
          <w:tcPr>
            <w:tcW w:type="dxa" w:w="124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P2 中危</w:t>
            </w:r>
          </w:p>
        </w:tc>
        <w:tc>
          <w:tcPr>
            <w:tcW w:type="dxa" w:w="3969"/>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局部观察点异常、疑似配置错误、影响范围有限。</w:t>
            </w:r>
          </w:p>
        </w:tc>
        <w:tc>
          <w:tcPr>
            <w:tcW w:type="dxa" w:w="3855"/>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工单跟踪、限定时间内确认或修复。</w:t>
            </w:r>
          </w:p>
        </w:tc>
      </w:tr>
      <w:tr>
        <w:tc>
          <w:tcPr>
            <w:tcW w:type="dxa" w:w="124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P3 低危</w:t>
            </w:r>
          </w:p>
        </w:tc>
        <w:tc>
          <w:tcPr>
            <w:tcW w:type="dxa" w:w="3969"/>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非关键前缀异常、可解释的良性冲突、治理建议。</w:t>
            </w:r>
          </w:p>
        </w:tc>
        <w:tc>
          <w:tcPr>
            <w:tcW w:type="dxa" w:w="3855"/>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纳入日常治理与定期复查。</w:t>
            </w:r>
          </w:p>
        </w:tc>
      </w:tr>
      <w:tr>
        <w:tc>
          <w:tcPr>
            <w:tcW w:type="dxa" w:w="124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P4 信息</w:t>
            </w:r>
          </w:p>
        </w:tc>
        <w:tc>
          <w:tcPr>
            <w:tcW w:type="dxa" w:w="3969"/>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基线变化、状态统计、策略优化提示。</w:t>
            </w:r>
          </w:p>
        </w:tc>
        <w:tc>
          <w:tcPr>
            <w:tcW w:type="dxa" w:w="3855"/>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用于观察、报告和规则优化。</w:t>
            </w:r>
          </w:p>
        </w:tc>
      </w:tr>
    </w:tbl>
    <w:p>
      <w:pPr>
        <w:spacing w:after="20"/>
      </w:pPr>
    </w:p>
    <w:p>
      <w:pPr>
        <w:pStyle w:val="Heading2"/>
        <w:spacing w:before="180" w:after="100"/>
      </w:pPr>
      <w:r>
        <w:rPr>
          <w:rFonts w:ascii="Noto Sans CJK SC" w:hAnsi="Noto Sans CJK SC" w:eastAsia="Noto Sans CJK SC"/>
          <w:b/>
          <w:color w:val="1F4E78"/>
          <w:sz w:val="24"/>
        </w:rPr>
        <w:t>6.2 风险评分模型</w:t>
      </w:r>
    </w:p>
    <w:p>
      <w:pPr>
        <w:spacing w:after="100" w:line="324" w:lineRule="auto"/>
      </w:pPr>
      <w:r>
        <w:rPr>
          <w:rFonts w:ascii="Noto Sans CJK SC" w:hAnsi="Noto Sans CJK SC" w:eastAsia="Noto Sans CJK SC"/>
          <w:b w:val="0"/>
          <w:sz w:val="21"/>
        </w:rPr>
        <w:t>风险评分必须可解释，不能以不可追溯的黑箱判断作为唯一告警依据。每个事件应展示总分、主要加分项、减分项、置信度与建议动作。</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1984"/>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评分维度</w:t>
            </w:r>
          </w:p>
        </w:tc>
        <w:tc>
          <w:tcPr>
            <w:tcW w:type="dxa" w:w="7087"/>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示例因子</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资产重要性</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核心业务、客户数量、收入/可用性影响、是否关键基础设施。</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RPKI 证据</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Valid/Invalid/NotFound、origin AS 不匹配、maxLength 超界、VRP 数据差异。</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BGP 传播证据</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观察点数量、传播速度、撤路规模、异常路径、跨区域传播。</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授权与变更证据</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资产台账、审批记录、变更窗口、清洗工单、客户/供应商授权。</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历史与行为基线</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历史 MOAS、Anycast、正常路径、常见地域、重复发生模式。</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外部风险特征</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异常 ASN 历史、未知中转、异常国家/地区、疑似攻击模式。</w:t>
            </w:r>
          </w:p>
        </w:tc>
      </w:tr>
    </w:tbl>
    <w:p>
      <w:pPr>
        <w:spacing w:after="20"/>
      </w:pPr>
    </w:p>
    <w:p>
      <w:pPr>
        <w:pStyle w:val="Heading2"/>
        <w:spacing w:before="180" w:after="100"/>
      </w:pPr>
      <w:r>
        <w:rPr>
          <w:rFonts w:ascii="Noto Sans CJK SC" w:hAnsi="Noto Sans CJK SC" w:eastAsia="Noto Sans CJK SC"/>
          <w:b/>
          <w:color w:val="1F4E78"/>
          <w:sz w:val="24"/>
        </w:rPr>
        <w:t>6.3 自动化处置边界</w:t>
      </w:r>
    </w:p>
    <w:p>
      <w:pPr>
        <w:pStyle w:val="ListBullet"/>
        <w:spacing w:after="60" w:line="312" w:lineRule="auto"/>
      </w:pPr>
      <w:r>
        <w:rPr>
          <w:rFonts w:ascii="Noto Sans CJK SC" w:hAnsi="Noto Sans CJK SC" w:eastAsia="Noto Sans CJK SC"/>
          <w:b w:val="0"/>
          <w:sz w:val="20"/>
        </w:rPr>
        <w:t>平台可自动收集证据、发送通知、创建工单、生成策略建议、调用外部流程或进入审批；不得在未授权条件下直接修改生产 BGP 策略或 ROA。</w:t>
      </w:r>
    </w:p>
    <w:p>
      <w:pPr>
        <w:pStyle w:val="ListBullet"/>
        <w:spacing w:after="60" w:line="312" w:lineRule="auto"/>
      </w:pPr>
      <w:r>
        <w:rPr>
          <w:rFonts w:ascii="Noto Sans CJK SC" w:hAnsi="Noto Sans CJK SC" w:eastAsia="Noto Sans CJK SC"/>
          <w:b w:val="0"/>
          <w:sz w:val="20"/>
        </w:rPr>
        <w:t>若用户明确启用受控自动化，必须支持规则白名单、双人审批、回滚预案、变更窗口、影响模拟、执行审计和失败熔断。</w:t>
      </w:r>
    </w:p>
    <w:p>
      <w:pPr>
        <w:pStyle w:val="ListBullet"/>
        <w:spacing w:after="60" w:line="312" w:lineRule="auto"/>
      </w:pPr>
      <w:r>
        <w:rPr>
          <w:rFonts w:ascii="Noto Sans CJK SC" w:hAnsi="Noto Sans CJK SC" w:eastAsia="Noto Sans CJK SC"/>
          <w:b w:val="0"/>
          <w:sz w:val="20"/>
        </w:rPr>
        <w:t>所有高风险动作都必须可追溯到发起人、审批人、执行人、目标对象、执行结果与回滚状态。</w:t>
      </w:r>
    </w:p>
    <w:p>
      <w:pPr>
        <w:pStyle w:val="Heading1"/>
        <w:spacing w:before="260" w:after="100"/>
      </w:pPr>
      <w:r>
        <w:rPr>
          <w:rFonts w:ascii="Noto Serif CJK SC" w:hAnsi="Noto Serif CJK SC" w:eastAsia="Noto Serif CJK SC"/>
          <w:b/>
          <w:color w:val="1F4E78"/>
          <w:sz w:val="30"/>
        </w:rPr>
        <w:t>7. 数据模型与数据治理要求</w:t>
      </w:r>
    </w:p>
    <w:p>
      <w:pPr>
        <w:spacing w:after="100" w:line="324" w:lineRule="auto"/>
      </w:pPr>
      <w:r>
        <w:rPr>
          <w:rFonts w:ascii="Noto Sans CJK SC" w:hAnsi="Noto Sans CJK SC" w:eastAsia="Noto Sans CJK SC"/>
          <w:b w:val="0"/>
          <w:sz w:val="21"/>
        </w:rPr>
        <w:t>平台至少应管理以下核心实体，并支持其关系查询、变更审计和历史追溯。</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1984"/>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实体类别</w:t>
            </w:r>
          </w:p>
        </w:tc>
        <w:tc>
          <w:tcPr>
            <w:tcW w:type="dxa" w:w="7087"/>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核心实体</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身份与租户</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Tenant、User、Role、Permission、Service Account、API Credential</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网络资产</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Prefix、ASN、Business Service、Router、BGPPeer、Customer、Provider、IXP</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RPKI</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TAL、RPKI Repository、RPKIObject、ROA、VRP、RPKICache、RTRSession</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BGP</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BGPAnnouncement、BGPWithdraw、RIB Snapshot、ASPath、Community、Observation Point</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安全运营</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Rule、RiskScore、Alert、Incident、Evidence、ChangeRequest、Approval、Playbook</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外部关系</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IRRObject、ASPAObject、Peering Relationship、Integration、Webhook Subscription</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审计与治理</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AuditLog、DataSourceHealth、Snapshot、RetentionPolicy、ExportRecord</w:t>
            </w:r>
          </w:p>
        </w:tc>
      </w:tr>
    </w:tbl>
    <w:p>
      <w:pPr>
        <w:spacing w:after="20"/>
      </w:pPr>
    </w:p>
    <w:p>
      <w:pPr>
        <w:pStyle w:val="Heading2"/>
        <w:spacing w:before="180" w:after="100"/>
      </w:pPr>
      <w:r>
        <w:rPr>
          <w:rFonts w:ascii="Noto Sans CJK SC" w:hAnsi="Noto Sans CJK SC" w:eastAsia="Noto Sans CJK SC"/>
          <w:b/>
          <w:color w:val="1F4E78"/>
          <w:sz w:val="24"/>
        </w:rPr>
        <w:t>7.1 数据治理</w:t>
      </w:r>
    </w:p>
    <w:p>
      <w:pPr>
        <w:pStyle w:val="ListBullet"/>
        <w:spacing w:after="60" w:line="312" w:lineRule="auto"/>
      </w:pPr>
      <w:r>
        <w:rPr>
          <w:rFonts w:ascii="Noto Sans CJK SC" w:hAnsi="Noto Sans CJK SC" w:eastAsia="Noto Sans CJK SC"/>
          <w:b w:val="0"/>
          <w:sz w:val="20"/>
        </w:rPr>
        <w:t>支持数据来源标识、可信度、采集延迟、覆盖范围和可用性统计。</w:t>
      </w:r>
    </w:p>
    <w:p>
      <w:pPr>
        <w:pStyle w:val="ListBullet"/>
        <w:spacing w:after="60" w:line="312" w:lineRule="auto"/>
      </w:pPr>
      <w:r>
        <w:rPr>
          <w:rFonts w:ascii="Noto Sans CJK SC" w:hAnsi="Noto Sans CJK SC" w:eastAsia="Noto Sans CJK SC"/>
          <w:b w:val="0"/>
          <w:sz w:val="20"/>
        </w:rPr>
        <w:t>支持按热/温/冷数据制定保留、归档与检索策略，确保关键事件可以历史回放。</w:t>
      </w:r>
    </w:p>
    <w:p>
      <w:pPr>
        <w:pStyle w:val="ListBullet"/>
        <w:spacing w:after="60" w:line="312" w:lineRule="auto"/>
      </w:pPr>
      <w:r>
        <w:rPr>
          <w:rFonts w:ascii="Noto Sans CJK SC" w:hAnsi="Noto Sans CJK SC" w:eastAsia="Noto Sans CJK SC"/>
          <w:b w:val="0"/>
          <w:sz w:val="20"/>
        </w:rPr>
        <w:t>支持同一前缀、ASN、ROA 在多来源数据中的差异对比和冲突展示。</w:t>
      </w:r>
    </w:p>
    <w:p>
      <w:pPr>
        <w:pStyle w:val="ListBullet"/>
        <w:spacing w:after="60" w:line="312" w:lineRule="auto"/>
      </w:pPr>
      <w:r>
        <w:rPr>
          <w:rFonts w:ascii="Noto Sans CJK SC" w:hAnsi="Noto Sans CJK SC" w:eastAsia="Noto Sans CJK SC"/>
          <w:b w:val="0"/>
          <w:sz w:val="20"/>
        </w:rPr>
        <w:t>对客户、租户、敏感资产与内部拓扑数据执行逻辑隔离和最小可见范围控制。</w:t>
      </w:r>
    </w:p>
    <w:p>
      <w:pPr>
        <w:pStyle w:val="ListBullet"/>
        <w:spacing w:after="60" w:line="312" w:lineRule="auto"/>
      </w:pPr>
      <w:r>
        <w:rPr>
          <w:rFonts w:ascii="Noto Sans CJK SC" w:hAnsi="Noto Sans CJK SC" w:eastAsia="Noto Sans CJK SC"/>
          <w:b w:val="0"/>
          <w:sz w:val="20"/>
        </w:rPr>
        <w:t>支持关键数据快照、版本对比、回滚和不可篡改审计。</w:t>
      </w:r>
    </w:p>
    <w:p>
      <w:pPr>
        <w:pStyle w:val="Heading1"/>
        <w:spacing w:before="260" w:after="100"/>
      </w:pPr>
      <w:r>
        <w:rPr>
          <w:rFonts w:ascii="Noto Serif CJK SC" w:hAnsi="Noto Serif CJK SC" w:eastAsia="Noto Serif CJK SC"/>
          <w:b/>
          <w:color w:val="1F4E78"/>
          <w:sz w:val="30"/>
        </w:rPr>
        <w:t>8. 开放接口与集成能力</w:t>
      </w:r>
    </w:p>
    <w:p>
      <w:pPr>
        <w:pStyle w:val="Heading2"/>
        <w:spacing w:before="180" w:after="100"/>
      </w:pPr>
      <w:r>
        <w:rPr>
          <w:rFonts w:ascii="Noto Sans CJK SC" w:hAnsi="Noto Sans CJK SC" w:eastAsia="Noto Sans CJK SC"/>
          <w:b/>
          <w:color w:val="1F4E78"/>
          <w:sz w:val="24"/>
        </w:rPr>
        <w:t>8.1 API 与事件接口</w:t>
      </w:r>
    </w:p>
    <w:p>
      <w:pPr>
        <w:pStyle w:val="ListBullet"/>
        <w:spacing w:after="60" w:line="312" w:lineRule="auto"/>
      </w:pPr>
      <w:r>
        <w:rPr>
          <w:rFonts w:ascii="Noto Sans CJK SC" w:hAnsi="Noto Sans CJK SC" w:eastAsia="Noto Sans CJK SC"/>
          <w:b w:val="0"/>
          <w:sz w:val="20"/>
        </w:rPr>
        <w:t>提供 REST API，关键高频能力可提供 gRPC；接口需支持版本化、分页、筛选、限流、幂等、审计与权限校验。</w:t>
      </w:r>
    </w:p>
    <w:p>
      <w:pPr>
        <w:pStyle w:val="ListBullet"/>
        <w:spacing w:after="60" w:line="312" w:lineRule="auto"/>
      </w:pPr>
      <w:r>
        <w:rPr>
          <w:rFonts w:ascii="Noto Sans CJK SC" w:hAnsi="Noto Sans CJK SC" w:eastAsia="Noto Sans CJK SC"/>
          <w:b w:val="0"/>
          <w:sz w:val="20"/>
        </w:rPr>
        <w:t>提供前缀验证、ROA/VRP 查询、BGP 状态查询、告警事件查询、资产同步、风险评估、报告数据导出和策略模拟接口。</w:t>
      </w:r>
    </w:p>
    <w:p>
      <w:pPr>
        <w:pStyle w:val="ListBullet"/>
        <w:spacing w:after="60" w:line="312" w:lineRule="auto"/>
      </w:pPr>
      <w:r>
        <w:rPr>
          <w:rFonts w:ascii="Noto Sans CJK SC" w:hAnsi="Noto Sans CJK SC" w:eastAsia="Noto Sans CJK SC"/>
          <w:b w:val="0"/>
          <w:sz w:val="20"/>
        </w:rPr>
        <w:t>支持 Webhook、Syslog、Kafka 或等价消息通道，用于实时向 SIEM、SOC、ITSM、企业协作工具推送事件。</w:t>
      </w:r>
    </w:p>
    <w:p>
      <w:pPr>
        <w:pStyle w:val="ListBullet"/>
        <w:spacing w:after="60" w:line="312" w:lineRule="auto"/>
      </w:pPr>
      <w:r>
        <w:rPr>
          <w:rFonts w:ascii="Noto Sans CJK SC" w:hAnsi="Noto Sans CJK SC" w:eastAsia="Noto Sans CJK SC"/>
          <w:b w:val="0"/>
          <w:sz w:val="20"/>
        </w:rPr>
        <w:t>支持服务账号、API Key、OAuth2、mTLS 和细粒度权限控制。</w:t>
      </w:r>
    </w:p>
    <w:p>
      <w:pPr>
        <w:pStyle w:val="Heading2"/>
        <w:spacing w:before="180" w:after="100"/>
      </w:pPr>
      <w:r>
        <w:rPr>
          <w:rFonts w:ascii="Noto Sans CJK SC" w:hAnsi="Noto Sans CJK SC" w:eastAsia="Noto Sans CJK SC"/>
          <w:b/>
          <w:color w:val="1F4E78"/>
          <w:sz w:val="24"/>
        </w:rPr>
        <w:t>8.2 重点集成对象</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2381"/>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集成对象</w:t>
            </w:r>
          </w:p>
        </w:tc>
        <w:tc>
          <w:tcPr>
            <w:tcW w:type="dxa" w:w="6690"/>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目的</w:t>
            </w:r>
          </w:p>
        </w:tc>
      </w:tr>
      <w:tr>
        <w:tc>
          <w:tcPr>
            <w:tcW w:type="dxa" w:w="2381"/>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IPAM / CMDB / NetBox</w:t>
            </w:r>
          </w:p>
        </w:tc>
        <w:tc>
          <w:tcPr>
            <w:tcW w:type="dxa" w:w="6690"/>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同步资产台账、业务归属、前缀生命周期与变更信息。</w:t>
            </w:r>
          </w:p>
        </w:tc>
      </w:tr>
      <w:tr>
        <w:tc>
          <w:tcPr>
            <w:tcW w:type="dxa" w:w="2381"/>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SIEM / SOC / ITSM</w:t>
            </w:r>
          </w:p>
        </w:tc>
        <w:tc>
          <w:tcPr>
            <w:tcW w:type="dxa" w:w="6690"/>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告警汇聚、事件联动、工单闭环、应急响应和审计。</w:t>
            </w:r>
          </w:p>
        </w:tc>
      </w:tr>
      <w:tr>
        <w:tc>
          <w:tcPr>
            <w:tcW w:type="dxa" w:w="2381"/>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NMS / Prometheus / Grafana</w:t>
            </w:r>
          </w:p>
        </w:tc>
        <w:tc>
          <w:tcPr>
            <w:tcW w:type="dxa" w:w="6690"/>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设备、RTR、数据源、服务健康度与指标展示。</w:t>
            </w:r>
          </w:p>
        </w:tc>
      </w:tr>
      <w:tr>
        <w:tc>
          <w:tcPr>
            <w:tcW w:type="dxa" w:w="2381"/>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RIR/NIR / IRR / PeeringDB</w:t>
            </w:r>
          </w:p>
        </w:tc>
        <w:tc>
          <w:tcPr>
            <w:tcW w:type="dxa" w:w="6690"/>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获取或关联 ROA、资源归属、route/route6、互联关系等外部信息。</w:t>
            </w:r>
          </w:p>
        </w:tc>
      </w:tr>
      <w:tr>
        <w:tc>
          <w:tcPr>
            <w:tcW w:type="dxa" w:w="2381"/>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路由器与配置管理系统</w:t>
            </w:r>
          </w:p>
        </w:tc>
        <w:tc>
          <w:tcPr>
            <w:tcW w:type="dxa" w:w="6690"/>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接入 BMP/遥测、生成或下发受控 RTR/ROV 配置。</w:t>
            </w:r>
          </w:p>
        </w:tc>
      </w:tr>
      <w:tr>
        <w:tc>
          <w:tcPr>
            <w:tcW w:type="dxa" w:w="2381"/>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企业协作与通知系统</w:t>
            </w:r>
          </w:p>
        </w:tc>
        <w:tc>
          <w:tcPr>
            <w:tcW w:type="dxa" w:w="6690"/>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邮件、短信、电话、企业微信、钉钉、Slack、Teams、PagerDuty 等通知。</w:t>
            </w:r>
          </w:p>
        </w:tc>
      </w:tr>
    </w:tbl>
    <w:p>
      <w:pPr>
        <w:spacing w:after="20"/>
      </w:pPr>
    </w:p>
    <w:p>
      <w:pPr>
        <w:pStyle w:val="Heading1"/>
        <w:spacing w:before="260" w:after="100"/>
      </w:pPr>
      <w:r>
        <w:rPr>
          <w:rFonts w:ascii="Noto Serif CJK SC" w:hAnsi="Noto Serif CJK SC" w:eastAsia="Noto Serif CJK SC"/>
          <w:b/>
          <w:color w:val="1F4E78"/>
          <w:sz w:val="30"/>
        </w:rPr>
        <w:t>9. 非功能需求</w:t>
      </w:r>
    </w:p>
    <w:p>
      <w:pPr>
        <w:pStyle w:val="Heading2"/>
        <w:spacing w:before="180" w:after="100"/>
      </w:pPr>
      <w:r>
        <w:rPr>
          <w:rFonts w:ascii="Noto Sans CJK SC" w:hAnsi="Noto Sans CJK SC" w:eastAsia="Noto Sans CJK SC"/>
          <w:b/>
          <w:color w:val="1F4E78"/>
          <w:sz w:val="24"/>
        </w:rPr>
        <w:t>9.1 性能与容量</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1984"/>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指标</w:t>
            </w:r>
          </w:p>
        </w:tc>
        <w:tc>
          <w:tcPr>
            <w:tcW w:type="dxa" w:w="7087"/>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目标</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资产规模</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支持管理不少于 100 万条 IP 前缀记录、10 万条以上 ROA/VRP 相关记录，并可横向扩展。</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BGP 事件处理</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支持日处理千万级 BGP UPDATE；高峰期通过分区、消息队列和水平扩容承接更高吞吐。</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检测时延</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内部 BMP 数据源核心检测目标不超过 30 秒；外部公开数据源目标不超过 3 分钟，受上游数据延迟影响时需明确展示。</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查询性能</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核心前缀匹配与状态查询 P95 不超过 500ms；普通 API 查询 P95 不超过 800ms。</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历史分析</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大范围历史查询、回放、报表等采用异步任务与可追踪进度。</w:t>
            </w:r>
          </w:p>
        </w:tc>
      </w:tr>
    </w:tbl>
    <w:p>
      <w:pPr>
        <w:spacing w:after="20"/>
      </w:pPr>
    </w:p>
    <w:p>
      <w:pPr>
        <w:pStyle w:val="Heading2"/>
        <w:spacing w:before="180" w:after="100"/>
      </w:pPr>
      <w:r>
        <w:rPr>
          <w:rFonts w:ascii="Noto Sans CJK SC" w:hAnsi="Noto Sans CJK SC" w:eastAsia="Noto Sans CJK SC"/>
          <w:b/>
          <w:color w:val="1F4E78"/>
          <w:sz w:val="24"/>
        </w:rPr>
        <w:t>9.2 可用性与弹性</w:t>
      </w:r>
    </w:p>
    <w:p>
      <w:pPr>
        <w:pStyle w:val="ListBullet"/>
        <w:spacing w:after="60" w:line="312" w:lineRule="auto"/>
      </w:pPr>
      <w:r>
        <w:rPr>
          <w:rFonts w:ascii="Noto Sans CJK SC" w:hAnsi="Noto Sans CJK SC" w:eastAsia="Noto Sans CJK SC"/>
          <w:b w:val="0"/>
          <w:sz w:val="20"/>
        </w:rPr>
        <w:t>核心平台服务目标可用性不低于 99.95%；RTR 服务目标可用性不低于 99.99%。</w:t>
      </w:r>
    </w:p>
    <w:p>
      <w:pPr>
        <w:pStyle w:val="ListBullet"/>
        <w:spacing w:after="60" w:line="312" w:lineRule="auto"/>
      </w:pPr>
      <w:r>
        <w:rPr>
          <w:rFonts w:ascii="Noto Sans CJK SC" w:hAnsi="Noto Sans CJK SC" w:eastAsia="Noto Sans CJK SC"/>
          <w:b w:val="0"/>
          <w:sz w:val="20"/>
        </w:rPr>
        <w:t>核心组件支持多实例、故障自动切换、消息持久化、数据库备份恢复和服务健康检查。</w:t>
      </w:r>
    </w:p>
    <w:p>
      <w:pPr>
        <w:pStyle w:val="ListBullet"/>
        <w:spacing w:after="60" w:line="312" w:lineRule="auto"/>
      </w:pPr>
      <w:r>
        <w:rPr>
          <w:rFonts w:ascii="Noto Sans CJK SC" w:hAnsi="Noto Sans CJK SC" w:eastAsia="Noto Sans CJK SC"/>
          <w:b w:val="0"/>
          <w:sz w:val="20"/>
        </w:rPr>
        <w:t>支持滚动升级、灰度发布、版本回退、配置灰度和关键数据快照回滚。</w:t>
      </w:r>
    </w:p>
    <w:p>
      <w:pPr>
        <w:pStyle w:val="ListBullet"/>
        <w:spacing w:after="60" w:line="312" w:lineRule="auto"/>
      </w:pPr>
      <w:r>
        <w:rPr>
          <w:rFonts w:ascii="Noto Sans CJK SC" w:hAnsi="Noto Sans CJK SC" w:eastAsia="Noto Sans CJK SC"/>
          <w:b w:val="0"/>
          <w:sz w:val="20"/>
        </w:rPr>
        <w:t>支持同城双活和异地灾备方案；RTO/RPO 可按客户等级配置。</w:t>
      </w:r>
    </w:p>
    <w:p>
      <w:pPr>
        <w:pStyle w:val="Heading2"/>
        <w:spacing w:before="180" w:after="100"/>
      </w:pPr>
      <w:r>
        <w:rPr>
          <w:rFonts w:ascii="Noto Sans CJK SC" w:hAnsi="Noto Sans CJK SC" w:eastAsia="Noto Sans CJK SC"/>
          <w:b/>
          <w:color w:val="1F4E78"/>
          <w:sz w:val="24"/>
        </w:rPr>
        <w:t>9.3 安全与合规</w:t>
      </w:r>
    </w:p>
    <w:p>
      <w:pPr>
        <w:pStyle w:val="ListBullet"/>
        <w:spacing w:after="60" w:line="312" w:lineRule="auto"/>
      </w:pPr>
      <w:r>
        <w:rPr>
          <w:rFonts w:ascii="Noto Sans CJK SC" w:hAnsi="Noto Sans CJK SC" w:eastAsia="Noto Sans CJK SC"/>
          <w:b w:val="0"/>
          <w:sz w:val="20"/>
        </w:rPr>
        <w:t>支持 SSO、OIDC、SAML、LDAP/AD、MFA、RBAC 与 ABAC；遵循最小权限原则。</w:t>
      </w:r>
    </w:p>
    <w:p>
      <w:pPr>
        <w:pStyle w:val="ListBullet"/>
        <w:spacing w:after="60" w:line="312" w:lineRule="auto"/>
      </w:pPr>
      <w:r>
        <w:rPr>
          <w:rFonts w:ascii="Noto Sans CJK SC" w:hAnsi="Noto Sans CJK SC" w:eastAsia="Noto Sans CJK SC"/>
          <w:b w:val="0"/>
          <w:sz w:val="20"/>
        </w:rPr>
        <w:t>接口和内部服务支持 TLS、mTLS、密钥轮换、IP 白名单、访问限流、防暴力破解和异常登录检测。</w:t>
      </w:r>
    </w:p>
    <w:p>
      <w:pPr>
        <w:pStyle w:val="ListBullet"/>
        <w:spacing w:after="60" w:line="312" w:lineRule="auto"/>
      </w:pPr>
      <w:r>
        <w:rPr>
          <w:rFonts w:ascii="Noto Sans CJK SC" w:hAnsi="Noto Sans CJK SC" w:eastAsia="Noto Sans CJK SC"/>
          <w:b w:val="0"/>
          <w:sz w:val="20"/>
        </w:rPr>
        <w:t>敏感资产、联系人、内部拓扑、API 凭据和审计信息应加密存储或采用合适的密钥托管机制。</w:t>
      </w:r>
    </w:p>
    <w:p>
      <w:pPr>
        <w:pStyle w:val="ListBullet"/>
        <w:spacing w:after="60" w:line="312" w:lineRule="auto"/>
      </w:pPr>
      <w:r>
        <w:rPr>
          <w:rFonts w:ascii="Noto Sans CJK SC" w:hAnsi="Noto Sans CJK SC" w:eastAsia="Noto Sans CJK SC"/>
          <w:b w:val="0"/>
          <w:sz w:val="20"/>
        </w:rPr>
        <w:t>支持容器镜像扫描、依赖漏洞扫描、SBOM、代码静态检查、关键操作审计与导出审计。</w:t>
      </w:r>
    </w:p>
    <w:p>
      <w:pPr>
        <w:pStyle w:val="ListBullet"/>
        <w:spacing w:after="60" w:line="312" w:lineRule="auto"/>
      </w:pPr>
      <w:r>
        <w:rPr>
          <w:rFonts w:ascii="Noto Sans CJK SC" w:hAnsi="Noto Sans CJK SC" w:eastAsia="Noto Sans CJK SC"/>
          <w:b w:val="0"/>
          <w:sz w:val="20"/>
        </w:rPr>
        <w:t>多租户环境必须进行数据、权限、任务、缓存和对象存储隔离。</w:t>
      </w:r>
    </w:p>
    <w:p>
      <w:pPr>
        <w:pStyle w:val="Heading2"/>
        <w:spacing w:before="180" w:after="100"/>
      </w:pPr>
      <w:r>
        <w:rPr>
          <w:rFonts w:ascii="Noto Sans CJK SC" w:hAnsi="Noto Sans CJK SC" w:eastAsia="Noto Sans CJK SC"/>
          <w:b/>
          <w:color w:val="1F4E78"/>
          <w:sz w:val="24"/>
        </w:rPr>
        <w:t>9.4 工程质量与代码规模</w:t>
      </w:r>
    </w:p>
    <w:p>
      <w:pPr>
        <w:pStyle w:val="ListBullet"/>
        <w:spacing w:after="60" w:line="312" w:lineRule="auto"/>
      </w:pPr>
      <w:r>
        <w:rPr>
          <w:rFonts w:ascii="Noto Sans CJK SC" w:hAnsi="Noto Sans CJK SC" w:eastAsia="Noto Sans CJK SC"/>
          <w:b w:val="0"/>
          <w:sz w:val="20"/>
        </w:rPr>
        <w:t>系统应以清晰的模块边界、可配置规则、可替换数据源适配器和可测试的核心算法建设。</w:t>
      </w:r>
    </w:p>
    <w:p>
      <w:pPr>
        <w:pStyle w:val="ListBullet"/>
        <w:spacing w:after="60" w:line="312" w:lineRule="auto"/>
      </w:pPr>
      <w:r>
        <w:rPr>
          <w:rFonts w:ascii="Noto Sans CJK SC" w:hAnsi="Noto Sans CJK SC" w:eastAsia="Noto Sans CJK SC"/>
          <w:b w:val="0"/>
          <w:sz w:val="20"/>
        </w:rPr>
        <w:t>关键检测逻辑、RPKI 验证、前缀树匹配、策略模拟、审批控制和 RTR 服务必须具备自动化测试。</w:t>
      </w:r>
    </w:p>
    <w:p>
      <w:pPr>
        <w:pStyle w:val="ListBullet"/>
        <w:spacing w:after="60" w:line="312" w:lineRule="auto"/>
      </w:pPr>
      <w:r>
        <w:rPr>
          <w:rFonts w:ascii="Noto Sans CJK SC" w:hAnsi="Noto Sans CJK SC" w:eastAsia="Noto Sans CJK SC"/>
          <w:b w:val="0"/>
          <w:sz w:val="20"/>
        </w:rPr>
        <w:t>前端、后端、接口、流处理、部署与安全组件应形成完整工程体系；代码规模应由真实复杂度自然形成。</w:t>
      </w:r>
    </w:p>
    <w:p>
      <w:pPr>
        <w:pStyle w:val="ListBullet"/>
        <w:spacing w:after="60" w:line="312" w:lineRule="auto"/>
      </w:pPr>
      <w:r>
        <w:rPr>
          <w:rFonts w:ascii="Noto Sans CJK SC" w:hAnsi="Noto Sans CJK SC" w:eastAsia="Noto Sans CJK SC"/>
          <w:b w:val="0"/>
          <w:sz w:val="20"/>
        </w:rPr>
        <w:t>严禁通过重复实现、空页面、无业务价值模块、冗余注释、复制粘贴代码或无效自动生成内容满足所谓“百万行”要求。</w:t>
      </w:r>
    </w:p>
    <w:p>
      <w:pPr>
        <w:pStyle w:val="Heading1"/>
        <w:spacing w:before="260" w:after="100"/>
      </w:pPr>
      <w:r>
        <w:rPr>
          <w:rFonts w:ascii="Noto Serif CJK SC" w:hAnsi="Noto Serif CJK SC" w:eastAsia="Noto Serif CJK SC"/>
          <w:b/>
          <w:color w:val="1F4E78"/>
          <w:sz w:val="30"/>
        </w:rPr>
        <w:t>10. 分期建设与优先级</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1984"/>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优先级</w:t>
            </w:r>
          </w:p>
        </w:tc>
        <w:tc>
          <w:tcPr>
            <w:tcW w:type="dxa" w:w="7087"/>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范围</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P0：首期必须上线</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资产管理、RPKI 同步与验证、ROA/VRP 查询、BGP 数据接入、基础前缀/子前缀劫持检测、ROA 缺失和冲突检测、maxLength 风险、告警事件、基础可视化、审计、权限和部署。</w:t>
            </w:r>
          </w:p>
        </w:tc>
      </w:tr>
      <w:tr>
        <w:tc>
          <w:tcPr>
            <w:tcW w:type="dxa" w:w="1984"/>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P1：首期增强/二期优先</w:t>
            </w:r>
          </w:p>
        </w:tc>
        <w:tc>
          <w:tcPr>
            <w:tcW w:type="dxa" w:w="7087"/>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ROA 创建建议、变更/撤销影响分析、审批流、良性冲突分类、ROV 策略模拟、RTR 服务、设备模板、BMP 深度接入、SIEM/SOC/ITSM 集成、多租户、风险评分和历史分析。</w:t>
            </w:r>
          </w:p>
        </w:tc>
      </w:tr>
      <w:tr>
        <w:tc>
          <w:tcPr>
            <w:tcW w:type="dxa" w:w="1984"/>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P2：高级演进</w:t>
            </w:r>
          </w:p>
        </w:tc>
        <w:tc>
          <w:tcPr>
            <w:tcW w:type="dxa" w:w="7087"/>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ASPA 试验性支持、深度 route leak 检测、BGPsec 预留、图分析、机器学习辅助异常检测、自动化处置剧本、托管服务运营能力和全球态势分析。</w:t>
            </w:r>
          </w:p>
        </w:tc>
      </w:tr>
    </w:tbl>
    <w:p>
      <w:pPr>
        <w:spacing w:after="20"/>
      </w:pPr>
    </w:p>
    <w:p>
      <w:pPr>
        <w:pStyle w:val="Heading2"/>
        <w:spacing w:before="180" w:after="100"/>
      </w:pPr>
      <w:r>
        <w:rPr>
          <w:rFonts w:ascii="Noto Sans CJK SC" w:hAnsi="Noto Sans CJK SC" w:eastAsia="Noto Sans CJK SC"/>
          <w:b/>
          <w:color w:val="1F4E78"/>
          <w:sz w:val="24"/>
        </w:rPr>
        <w:t>10.1 建议实施顺序</w:t>
      </w:r>
    </w:p>
    <w:p>
      <w:pPr>
        <w:pStyle w:val="ListNumber"/>
        <w:spacing w:after="60" w:line="312" w:lineRule="auto"/>
      </w:pPr>
      <w:r>
        <w:rPr>
          <w:rFonts w:ascii="Noto Sans CJK SC" w:hAnsi="Noto Sans CJK SC" w:eastAsia="Noto Sans CJK SC"/>
          <w:b w:val="0"/>
          <w:sz w:val="20"/>
        </w:rPr>
        <w:t>先建立可信资产台账和 RPKI/ROA/VRP 数据基础；没有资产授权边界，检测将难以做到低误报。</w:t>
      </w:r>
    </w:p>
    <w:p>
      <w:pPr>
        <w:pStyle w:val="ListNumber"/>
        <w:spacing w:after="60" w:line="312" w:lineRule="auto"/>
      </w:pPr>
      <w:r>
        <w:rPr>
          <w:rFonts w:ascii="Noto Sans CJK SC" w:hAnsi="Noto Sans CJK SC" w:eastAsia="Noto Sans CJK SC"/>
          <w:b w:val="0"/>
          <w:sz w:val="20"/>
        </w:rPr>
        <w:t>再接入 BGP 观测与基础检测，优先保护核心前缀、关键客户和高价值业务。</w:t>
      </w:r>
    </w:p>
    <w:p>
      <w:pPr>
        <w:pStyle w:val="ListNumber"/>
        <w:spacing w:after="60" w:line="312" w:lineRule="auto"/>
      </w:pPr>
      <w:r>
        <w:rPr>
          <w:rFonts w:ascii="Noto Sans CJK SC" w:hAnsi="Noto Sans CJK SC" w:eastAsia="Noto Sans CJK SC"/>
          <w:b w:val="0"/>
          <w:sz w:val="20"/>
        </w:rPr>
        <w:t>随后建设 ROA 变更影响分析、良性冲突识别和 ROV 模拟，避免“安全配置误伤业务”。</w:t>
      </w:r>
    </w:p>
    <w:p>
      <w:pPr>
        <w:pStyle w:val="ListNumber"/>
        <w:spacing w:after="60" w:line="312" w:lineRule="auto"/>
      </w:pPr>
      <w:r>
        <w:rPr>
          <w:rFonts w:ascii="Noto Sans CJK SC" w:hAnsi="Noto Sans CJK SC" w:eastAsia="Noto Sans CJK SC"/>
          <w:b w:val="0"/>
          <w:sz w:val="20"/>
        </w:rPr>
        <w:t>最后推进 RTR、设备集成、自动化处置与 ASPA 等高级能力。</w:t>
      </w:r>
    </w:p>
    <w:p>
      <w:pPr>
        <w:pStyle w:val="Heading1"/>
        <w:spacing w:before="260" w:after="100"/>
      </w:pPr>
      <w:r>
        <w:rPr>
          <w:rFonts w:ascii="Noto Serif CJK SC" w:hAnsi="Noto Serif CJK SC" w:eastAsia="Noto Serif CJK SC"/>
          <w:b/>
          <w:color w:val="1F4E78"/>
          <w:sz w:val="30"/>
        </w:rPr>
        <w:t>11. 应用验收标准</w:t>
      </w:r>
    </w:p>
    <w:p>
      <w:pPr>
        <w:spacing w:after="100" w:line="324" w:lineRule="auto"/>
      </w:pPr>
      <w:r>
        <w:rPr>
          <w:rFonts w:ascii="Noto Sans CJK SC" w:hAnsi="Noto Sans CJK SC" w:eastAsia="Noto Sans CJK SC"/>
          <w:b w:val="0"/>
          <w:sz w:val="21"/>
        </w:rPr>
        <w:t>本阶段验收聚焦应用本身是否可部署、可运行、可处理真实数据、可支撑核心路由安全场景及可在异常条件下恢复。</w:t>
      </w:r>
    </w:p>
    <w:p>
      <w:pPr>
        <w:pStyle w:val="Heading2"/>
        <w:spacing w:before="180" w:after="100"/>
      </w:pPr>
      <w:r>
        <w:rPr>
          <w:rFonts w:ascii="Noto Sans CJK SC" w:hAnsi="Noto Sans CJK SC" w:eastAsia="Noto Sans CJK SC"/>
          <w:b/>
          <w:color w:val="1F4E78"/>
          <w:sz w:val="24"/>
        </w:rPr>
        <w:t>11.1 功能验收</w:t>
      </w:r>
    </w:p>
    <w:p>
      <w:pPr>
        <w:pStyle w:val="ListBullet"/>
        <w:spacing w:after="60" w:line="312" w:lineRule="auto"/>
      </w:pPr>
      <w:r>
        <w:rPr>
          <w:rFonts w:ascii="Noto Sans CJK SC" w:hAnsi="Noto Sans CJK SC" w:eastAsia="Noto Sans CJK SC"/>
          <w:b w:val="0"/>
          <w:sz w:val="20"/>
        </w:rPr>
        <w:t>P0 功能全部实现并可在验收环境中独立运行；P1 功能按合同范围实现。</w:t>
      </w:r>
    </w:p>
    <w:p>
      <w:pPr>
        <w:pStyle w:val="ListBullet"/>
        <w:spacing w:after="60" w:line="312" w:lineRule="auto"/>
      </w:pPr>
      <w:r>
        <w:rPr>
          <w:rFonts w:ascii="Noto Sans CJK SC" w:hAnsi="Noto Sans CJK SC" w:eastAsia="Noto Sans CJK SC"/>
          <w:b w:val="0"/>
          <w:sz w:val="20"/>
        </w:rPr>
        <w:t>可导入/同步企业前缀、ASN、ROA、VRP、BGP 数据，并可在控制台与 API 中查询关联关系。</w:t>
      </w:r>
    </w:p>
    <w:p>
      <w:pPr>
        <w:pStyle w:val="ListBullet"/>
        <w:spacing w:after="60" w:line="312" w:lineRule="auto"/>
      </w:pPr>
      <w:r>
        <w:rPr>
          <w:rFonts w:ascii="Noto Sans CJK SC" w:hAnsi="Noto Sans CJK SC" w:eastAsia="Noto Sans CJK SC"/>
          <w:b w:val="0"/>
          <w:sz w:val="20"/>
        </w:rPr>
        <w:t>可复现并识别授权 origin 与非授权 origin、子前缀劫持、ROA 缺失、maxLength 超界、MOAS、撤路和路由泄露等核心场景。</w:t>
      </w:r>
    </w:p>
    <w:p>
      <w:pPr>
        <w:pStyle w:val="ListBullet"/>
        <w:spacing w:after="60" w:line="312" w:lineRule="auto"/>
      </w:pPr>
      <w:r>
        <w:rPr>
          <w:rFonts w:ascii="Noto Sans CJK SC" w:hAnsi="Noto Sans CJK SC" w:eastAsia="Noto Sans CJK SC"/>
          <w:b w:val="0"/>
          <w:sz w:val="20"/>
        </w:rPr>
        <w:t>ROA 创建、修改、撤销和 maxLength 变更可执行影响分析，且能对高风险结果进行阻断或升级处理。</w:t>
      </w:r>
    </w:p>
    <w:p>
      <w:pPr>
        <w:pStyle w:val="ListBullet"/>
        <w:spacing w:after="60" w:line="312" w:lineRule="auto"/>
      </w:pPr>
      <w:r>
        <w:rPr>
          <w:rFonts w:ascii="Noto Sans CJK SC" w:hAnsi="Noto Sans CJK SC" w:eastAsia="Noto Sans CJK SC"/>
          <w:b w:val="0"/>
          <w:sz w:val="20"/>
        </w:rPr>
        <w:t>良性冲突模块可基于授权关系、变更窗口、清洗工单、历史模式和多数据源证据给出可解释结论。</w:t>
      </w:r>
    </w:p>
    <w:p>
      <w:pPr>
        <w:pStyle w:val="ListBullet"/>
        <w:spacing w:after="60" w:line="312" w:lineRule="auto"/>
      </w:pPr>
      <w:r>
        <w:rPr>
          <w:rFonts w:ascii="Noto Sans CJK SC" w:hAnsi="Noto Sans CJK SC" w:eastAsia="Noto Sans CJK SC"/>
          <w:b w:val="0"/>
          <w:sz w:val="20"/>
        </w:rPr>
        <w:t>告警可生成事件、收集证据、通知指定对象、保留状态与审计链，并支持关闭后的历史检索。</w:t>
      </w:r>
    </w:p>
    <w:p>
      <w:pPr>
        <w:pStyle w:val="ListBullet"/>
        <w:spacing w:after="60" w:line="312" w:lineRule="auto"/>
      </w:pPr>
      <w:r>
        <w:rPr>
          <w:rFonts w:ascii="Noto Sans CJK SC" w:hAnsi="Noto Sans CJK SC" w:eastAsia="Noto Sans CJK SC"/>
          <w:b w:val="0"/>
          <w:sz w:val="20"/>
        </w:rPr>
        <w:t>RTR 服务可与至少约定数量的测试路由器或模拟客户端稳定建立会话并提供 VRP 更新。</w:t>
      </w:r>
    </w:p>
    <w:p>
      <w:pPr>
        <w:pStyle w:val="Heading2"/>
        <w:spacing w:before="180" w:after="100"/>
      </w:pPr>
      <w:r>
        <w:rPr>
          <w:rFonts w:ascii="Noto Sans CJK SC" w:hAnsi="Noto Sans CJK SC" w:eastAsia="Noto Sans CJK SC"/>
          <w:b/>
          <w:color w:val="1F4E78"/>
          <w:sz w:val="24"/>
        </w:rPr>
        <w:t>11.2 性能、稳定性与安全验收</w:t>
      </w:r>
    </w:p>
    <w:p>
      <w:pPr>
        <w:pStyle w:val="ListBullet"/>
        <w:spacing w:after="60" w:line="312" w:lineRule="auto"/>
      </w:pPr>
      <w:r>
        <w:rPr>
          <w:rFonts w:ascii="Noto Sans CJK SC" w:hAnsi="Noto Sans CJK SC" w:eastAsia="Noto Sans CJK SC"/>
          <w:b w:val="0"/>
          <w:sz w:val="20"/>
        </w:rPr>
        <w:t>以真实或接近真实规模的 BGP、ROA、VRP 和资产数据进行压测，验证吞吐、时延、查询性能与资源占用。</w:t>
      </w:r>
    </w:p>
    <w:p>
      <w:pPr>
        <w:pStyle w:val="ListBullet"/>
        <w:spacing w:after="60" w:line="312" w:lineRule="auto"/>
      </w:pPr>
      <w:r>
        <w:rPr>
          <w:rFonts w:ascii="Noto Sans CJK SC" w:hAnsi="Noto Sans CJK SC" w:eastAsia="Noto Sans CJK SC"/>
          <w:b w:val="0"/>
          <w:sz w:val="20"/>
        </w:rPr>
        <w:t>验证数据源不可用、RPKI 仓库异常、消息积压、节点故障、数据库主从切换、服务滚动升级后的恢复能力。</w:t>
      </w:r>
    </w:p>
    <w:p>
      <w:pPr>
        <w:pStyle w:val="ListBullet"/>
        <w:spacing w:after="60" w:line="312" w:lineRule="auto"/>
      </w:pPr>
      <w:r>
        <w:rPr>
          <w:rFonts w:ascii="Noto Sans CJK SC" w:hAnsi="Noto Sans CJK SC" w:eastAsia="Noto Sans CJK SC"/>
          <w:b w:val="0"/>
          <w:sz w:val="20"/>
        </w:rPr>
        <w:t>验证权限隔离、API 鉴权、敏感操作审计、租户隔离、导出控制、依赖漏洞扫描和关键安全配置。</w:t>
      </w:r>
    </w:p>
    <w:p>
      <w:pPr>
        <w:pStyle w:val="ListBullet"/>
        <w:spacing w:after="60" w:line="312" w:lineRule="auto"/>
      </w:pPr>
      <w:r>
        <w:rPr>
          <w:rFonts w:ascii="Noto Sans CJK SC" w:hAnsi="Noto Sans CJK SC" w:eastAsia="Noto Sans CJK SC"/>
          <w:b w:val="0"/>
          <w:sz w:val="20"/>
        </w:rPr>
        <w:t>验证生产变更受审批、变更窗口、影响分析、回滚和审计约束。</w:t>
      </w:r>
    </w:p>
    <w:p>
      <w:pPr>
        <w:pStyle w:val="Heading2"/>
        <w:spacing w:before="180" w:after="100"/>
      </w:pPr>
      <w:r>
        <w:rPr>
          <w:rFonts w:ascii="Noto Sans CJK SC" w:hAnsi="Noto Sans CJK SC" w:eastAsia="Noto Sans CJK SC"/>
          <w:b/>
          <w:color w:val="1F4E78"/>
          <w:sz w:val="24"/>
        </w:rPr>
        <w:t>11.3 应用交付形态</w:t>
      </w:r>
    </w:p>
    <w:p>
      <w:pPr>
        <w:pStyle w:val="ListBullet"/>
        <w:spacing w:after="60" w:line="312" w:lineRule="auto"/>
      </w:pPr>
      <w:r>
        <w:rPr>
          <w:rFonts w:ascii="Noto Sans CJK SC" w:hAnsi="Noto Sans CJK SC" w:eastAsia="Noto Sans CJK SC"/>
          <w:b w:val="0"/>
          <w:sz w:val="20"/>
        </w:rPr>
        <w:t>提供可部署的平台应用，包括服务端、前端、数据库迁移、容器镜像或安装包、部署编排、运行配置模板、自动化测试和 CI/CD 配置。</w:t>
      </w:r>
    </w:p>
    <w:p>
      <w:pPr>
        <w:pStyle w:val="ListBullet"/>
        <w:spacing w:after="60" w:line="312" w:lineRule="auto"/>
      </w:pPr>
      <w:r>
        <w:rPr>
          <w:rFonts w:ascii="Noto Sans CJK SC" w:hAnsi="Noto Sans CJK SC" w:eastAsia="Noto Sans CJK SC"/>
          <w:b w:val="0"/>
          <w:sz w:val="20"/>
        </w:rPr>
        <w:t>提供可运行的默认规则集、示例数据或导入接口，使验收环境能够完成核心场景验证。</w:t>
      </w:r>
    </w:p>
    <w:p>
      <w:pPr>
        <w:pStyle w:val="ListBullet"/>
        <w:spacing w:after="60" w:line="312" w:lineRule="auto"/>
      </w:pPr>
      <w:r>
        <w:rPr>
          <w:rFonts w:ascii="Noto Sans CJK SC" w:hAnsi="Noto Sans CJK SC" w:eastAsia="Noto Sans CJK SC"/>
          <w:b w:val="0"/>
          <w:sz w:val="20"/>
        </w:rPr>
        <w:t>源代码、配置与构建产物应可在约定环境内重复构建、部署与升级。</w:t>
      </w:r>
    </w:p>
    <w:p>
      <w:pPr>
        <w:pStyle w:val="Heading1"/>
        <w:spacing w:before="260" w:after="100"/>
      </w:pPr>
      <w:r>
        <w:rPr>
          <w:rFonts w:ascii="Noto Serif CJK SC" w:hAnsi="Noto Serif CJK SC" w:eastAsia="Noto Serif CJK SC"/>
          <w:b/>
          <w:color w:val="1F4E78"/>
          <w:sz w:val="30"/>
        </w:rPr>
        <w:t>12. 关键风险与约束</w:t>
      </w:r>
    </w:p>
    <w:tbl>
      <w:tblPr>
        <w:tblStyle w:val="TableGrid"/>
        <w:tblW w:type="auto" w:w="0"/>
        <w:jc w:val="center"/>
        <w:tblLook w:firstColumn="1" w:firstRow="1" w:lastColumn="0" w:lastRow="0" w:noHBand="0" w:noVBand="1" w:val="04A0"/>
      </w:tblPr>
      <w:tblGrid>
        <w:gridCol w:w="4748"/>
        <w:gridCol w:w="4748"/>
      </w:tblGrid>
      <w:tr>
        <w:trPr>
          <w:trHeight w:hRule="atLeast"/>
          <w:tblHeader w:val="true"/>
        </w:trPr>
        <w:tc>
          <w:tcPr>
            <w:tcW w:type="dxa" w:w="2268"/>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风险/约束</w:t>
            </w:r>
          </w:p>
        </w:tc>
        <w:tc>
          <w:tcPr>
            <w:tcW w:type="dxa" w:w="6803"/>
            <w:vAlign w:val="center"/>
            <w:shd w:fill="1F4E78" w:val="clear"/>
            <w:tcMar>
              <w:top w:w="90" w:type="dxa"/>
              <w:start w:w="110" w:type="dxa"/>
              <w:bottom w:w="90" w:type="dxa"/>
              <w:end w:w="110" w:type="dxa"/>
            </w:tcMar>
            <w:tcBorders>
              <w:top w:val="single" w:sz="6" w:color="B4C7E7"/>
              <w:left w:val="single" w:sz="6" w:color="B4C7E7"/>
              <w:bottom w:val="single" w:sz="6" w:color="B4C7E7"/>
              <w:right w:val="single" w:sz="6" w:color="B4C7E7"/>
            </w:tcBorders>
          </w:tcPr>
          <w:p>
            <w:pPr>
              <w:spacing w:after="0"/>
              <w:jc w:val="center"/>
            </w:pPr>
            <w:r>
              <w:rPr>
                <w:rFonts w:ascii="Noto Sans CJK SC" w:hAnsi="Noto Sans CJK SC" w:eastAsia="Noto Sans CJK SC"/>
                <w:b/>
                <w:color w:val="FFFFFF"/>
                <w:sz w:val="18"/>
              </w:rPr>
              <w:t>应对要求</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BGP 观测不完整</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展示数据源覆盖、延迟和可信度；以多观察点、内部 BMP 与资产授权降低误判。</w:t>
            </w:r>
          </w:p>
        </w:tc>
      </w:tr>
      <w:tr>
        <w:tc>
          <w:tcPr>
            <w:tcW w:type="dxa" w:w="2268"/>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RPKI 同步延迟或差异</w:t>
            </w:r>
          </w:p>
        </w:tc>
        <w:tc>
          <w:tcPr>
            <w:tcW w:type="dxa" w:w="6803"/>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多验证器比对、缓存健康监控、快照回滚和数据源异常告警。</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ROA 配置错误</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强制影响分析、maxLength 风险提示、审批与变更后验证。</w:t>
            </w:r>
          </w:p>
        </w:tc>
      </w:tr>
      <w:tr>
        <w:tc>
          <w:tcPr>
            <w:tcW w:type="dxa" w:w="2268"/>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自动化误操作</w:t>
            </w:r>
          </w:p>
        </w:tc>
        <w:tc>
          <w:tcPr>
            <w:tcW w:type="dxa" w:w="6803"/>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默认只生成建议；高风险动作必须走审批、窗口、回滚、审计与熔断。</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多租户数据泄露</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从身份、数据库、缓存、消息、对象存储和审计层实施隔离。</w:t>
            </w:r>
          </w:p>
        </w:tc>
      </w:tr>
      <w:tr>
        <w:tc>
          <w:tcPr>
            <w:tcW w:type="dxa" w:w="2268"/>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标准持续演进</w:t>
            </w:r>
          </w:p>
        </w:tc>
        <w:tc>
          <w:tcPr>
            <w:tcW w:type="dxa" w:w="6803"/>
            <w:vAlign w:val="center"/>
            <w:tcMar>
              <w:top w:w="90" w:type="dxa"/>
              <w:start w:w="110" w:type="dxa"/>
              <w:bottom w:w="90" w:type="dxa"/>
              <w:end w:w="110" w:type="dxa"/>
            </w:tcMar>
            <w:shd w:fill="FFFFFF"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以可插拔对象解析、规则引擎和版本化接口预留 ASPA/BGPsec 等能力。</w:t>
            </w:r>
          </w:p>
        </w:tc>
      </w:tr>
      <w:tr>
        <w:tc>
          <w:tcPr>
            <w:tcW w:type="dxa" w:w="2268"/>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追求代码行数而牺牲质量</w:t>
            </w:r>
          </w:p>
        </w:tc>
        <w:tc>
          <w:tcPr>
            <w:tcW w:type="dxa" w:w="6803"/>
            <w:vAlign w:val="center"/>
            <w:tcMar>
              <w:top w:w="90" w:type="dxa"/>
              <w:start w:w="110" w:type="dxa"/>
              <w:bottom w:w="90" w:type="dxa"/>
              <w:end w:w="110" w:type="dxa"/>
            </w:tcMar>
            <w:shd w:fill="F5F9FC" w:val="clear"/>
            <w:tcBorders>
              <w:top w:val="single" w:sz="4" w:color="D9E2F3"/>
              <w:left w:val="single" w:sz="4" w:color="D9E2F3"/>
              <w:bottom w:val="single" w:sz="4" w:color="D9E2F3"/>
              <w:right w:val="single" w:sz="4" w:color="D9E2F3"/>
            </w:tcBorders>
          </w:tcPr>
          <w:p>
            <w:pPr>
              <w:spacing w:after="0" w:line="269" w:lineRule="auto"/>
            </w:pPr>
            <w:r>
              <w:rPr>
                <w:rFonts w:ascii="Noto Sans CJK SC" w:hAnsi="Noto Sans CJK SC" w:eastAsia="Noto Sans CJK SC"/>
                <w:b w:val="0"/>
                <w:sz w:val="17"/>
              </w:rPr>
              <w:t>将功能、性能、安全、可用性、可测试性和可维护性作为验收主目标。</w:t>
            </w:r>
          </w:p>
        </w:tc>
      </w:tr>
    </w:tbl>
    <w:p>
      <w:pPr>
        <w:spacing w:after="20"/>
      </w:pPr>
    </w:p>
    <w:p>
      <w:pPr>
        <w:pStyle w:val="Heading1"/>
        <w:spacing w:before="260" w:after="100"/>
      </w:pPr>
      <w:r>
        <w:rPr>
          <w:rFonts w:ascii="Noto Serif CJK SC" w:hAnsi="Noto Serif CJK SC" w:eastAsia="Noto Serif CJK SC"/>
          <w:b/>
          <w:color w:val="1F4E78"/>
          <w:sz w:val="30"/>
        </w:rPr>
        <w:t>结语</w:t>
      </w:r>
    </w:p>
    <w:p>
      <w:pPr>
        <w:spacing w:after="100" w:line="324" w:lineRule="auto"/>
      </w:pPr>
      <w:r>
        <w:rPr>
          <w:rFonts w:ascii="Noto Sans CJK SC" w:hAnsi="Noto Sans CJK SC" w:eastAsia="Noto Sans CJK SC"/>
          <w:b w:val="0"/>
          <w:sz w:val="21"/>
        </w:rPr>
        <w:t>该平台的核心不在于“展示一份 ROA 列表”或“提示一次异常 BGP 公告”，而在于把企业的资源授权、RPKI 状态、实际路由传播、业务影响和处置过程连接起来。只有资产边界清晰、检测可解释、变更可模拟、告警可闭环，RPKI 才能从合规动作变成真正可运营的路由安全能力。</w:t>
      </w:r>
    </w:p>
    <w:p>
      <w:pPr>
        <w:spacing w:after="100" w:line="324" w:lineRule="auto"/>
      </w:pPr>
      <w:r>
        <w:rPr>
          <w:rFonts w:ascii="Noto Sans CJK SC" w:hAnsi="Noto Sans CJK SC" w:eastAsia="Noto Sans CJK SC"/>
          <w:b w:val="0"/>
          <w:sz w:val="21"/>
        </w:rPr>
        <w:t>本版本将实施重点锁定为可运行应用的交付。后续如需扩展说明书、培训、详细设计、运维材料或外部招投标附件，可基于该版本再单独形成配套文档。</w:t>
      </w:r>
    </w:p>
    <w:sectPr w:rsidR="00FC693F" w:rsidRPr="0006063C" w:rsidSect="00034616">
      <w:headerReference w:type="default" r:id="rId9"/>
      <w:footerReference w:type="default" r:id="rId10"/>
      <w:pgSz w:w="11906" w:h="16838"/>
      <w:pgMar w:top="1276" w:right="1134" w:bottom="1191"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6E6E6E"/>
        <w:sz w:val="17"/>
      </w:rPr>
      <w:t xml:space="preserve">第 </w:t>
      <w:fldChar w:fldCharType="begin"/>
      <w:instrText xml:space="preserve">PAGE</w:instrText>
      <w:fldChar w:fldCharType="end"/>
    </w:r>
    <w:r>
      <w:rPr>
        <w:rFonts w:ascii="Noto Sans CJK SC" w:hAnsi="Noto Sans CJK SC" w:eastAsia="Noto Sans CJK SC"/>
        <w:color w:val="6E6E6E"/>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CJK SC" w:hAnsi="Noto Sans CJK SC" w:eastAsia="Noto Sans CJK SC"/>
        <w:b w:val="0"/>
        <w:color w:val="6E6E6E"/>
        <w:sz w:val="17"/>
      </w:rPr>
      <w:t>企业级 RPKI 网络安全管理平台 | 功能需求文档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企业级 RPKI 网络安全管理平台功能需求文档</dc:title>
  <dc:subject>用于平台应用开发与验收的功能需求</dc:subject>
  <dc:creator>OpenAI</dc:creator>
  <cp:keywords>RPKI, ROA, BGP, BGP hijack, network security, requirements</cp:keywords>
  <dc:description>V0.2 - 当前阶段聚焦可运行应用交付。</dc:description>
  <cp:lastModifiedBy/>
  <cp:revision>1</cp:revision>
  <dcterms:created xsi:type="dcterms:W3CDTF">2013-12-23T23:15:00Z</dcterms:created>
  <dcterms:modified xsi:type="dcterms:W3CDTF">2013-12-23T23:15:00Z</dcterms:modified>
  <cp:category/>
</cp:coreProperties>
</file>